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Pixel &amp; Ink Design Studio</w:t>
            </w:r>
          </w:p>
          <w:p>
            <w:pPr>
              <w:spacing w:after="60"/>
            </w:pPr>
            <w:r>
              <w:rPr>
                <w:i/>
                <w:iCs/>
                <w:color w:val="9333EA"/>
                <w:sz w:val="18"/>
                <w:szCs w:val="18"/>
              </w:rPr>
              <w:t xml:space="preserve">Brand Identity • Illustration • Print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9333EA"/>
                <w:sz w:val="44"/>
                <w:szCs w:val="44"/>
              </w:rPr>
              <w:t xml:space="preserve">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GD-2026-031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9333EA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Brightleaf Foods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 Industrial Way
Ikeja, Lagos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9333EA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Project: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Brightleaf Foods — Rebrand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Deliverables: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Logo (AI/SVG/PNG), brand guide (PDF), label files (AI)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Licence: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Unlimited commercial, worldwide, perpetual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333EA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Logo Concept Package (3 directions + refinement)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Full Brand Kit (Guidelines + Colour + Type)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₦250,000.00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₦250,000.00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Packaging Label Design — 4 SKUs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₦85,000.00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₦340,000.00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Additional Revision Round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₦45,000.00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₦90,000.00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₦1,030,000.00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VAT (7.5%)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₦77,250.00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9333EA"/>
                <w:sz w:val="26"/>
                <w:szCs w:val="26"/>
              </w:rPr>
              <w:t xml:space="preserve">₦1,107,250.00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Stanbic IBTC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Pixel &amp; Ink Design Studio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9012345678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Source files are released upon final payment. You will receive a branded PDF style guide and all production-ready assets.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50% deposit to start, 50% on delivery. Two revision rounds per deliverable included; additional rounds charged at listed rate.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Template</dc:title>
  <dc:creator>InvoiceGenerator.ng</dc:creator>
  <cp:lastModifiedBy>Un-named</cp:lastModifiedBy>
  <cp:revision>1</cp:revision>
  <dcterms:created xsi:type="dcterms:W3CDTF">2026-04-17T22:25:58.560Z</dcterms:created>
  <dcterms:modified xsi:type="dcterms:W3CDTF">2026-04-17T22:25:58.560Z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