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Chambers, Bello &amp; Co. Legal Practitioners</w:t>
            </w:r>
          </w:p>
          <w:p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Corporate • Litigation • Intellectual Property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475569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LG-2026-061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475569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TechBridge Nigeria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Suite 12, Landmark Place
Lekki Phase 1,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475569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Matter Number: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CBC-TBN-2026-009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Matter: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TechBridge v. Unknown Infringers — IP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Lead Counsel: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Barr. Chika Bello, SAN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Billing Period: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 – April 17, 2026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Initial Client Consultation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₦127,500.00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Legal Research — IP Infringement Review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₦75,000.00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Document Drafting — Cease &amp; Desist Letters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₦272,000.00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Court Filing Fees — Federal High Court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Counsel Attendance — Case Conference (hours)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₦240,000.00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₦1,134,500.00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₦85,087.50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475569"/>
                <w:sz w:val="26"/>
                <w:szCs w:val="26"/>
              </w:rPr>
              <w:t xml:space="preserve">₦1,219,587.50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Guaranty Trust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Chambers, Bello &amp; Co.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0087654321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This invoice covers the period stated. A detailed timesheet is available on request. Matter remains active; next status update by April 30.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Retainer replenishment required on receipt of this invoice. Court fees and filing disbursements are pass-through at cost.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2026-04-17T22:25:59.974Z</dcterms:created>
  <dcterms:modified xsi:type="dcterms:W3CDTF">2026-04-17T22:25:59.974Z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