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AquaFlow Plumbing Services</w:t>
            </w:r>
          </w:p>
          <w:p>
            <w:pPr>
              <w:spacing w:after="60"/>
            </w:pPr>
            <w:r>
              <w:rPr>
                <w:i/>
                <w:iCs/>
                <w:color w:val="2563EB"/>
                <w:sz w:val="18"/>
                <w:szCs w:val="18"/>
              </w:rPr>
              <w:t xml:space="preserve">Licensed Plumber • 24/7 Emergency Response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2563EB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PLU-2026-118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2563EB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Chief Adeniji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Block C, Flat 4
Lekki Gardens Estate,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2563EB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Service Address: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Block C, Flat 4, Lekki Gardens Estate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Service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16, 2026 (11:30 PM call-out)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Technician: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Mr. Emeka Obi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Warranty: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90 days on labour; manufacturer warranty on parts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Emergency Call-Out Fee (After 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Kitchen main line unblock &amp; repair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₦36,000.00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Bathroom tap replacement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— PVC pipes &amp; fittings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₦18,500.00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₦18,500.00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— Pressure-balance mixer tap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₦64,000.00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— Sealants &amp; jointing compound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₦4,500.00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₦163,000.00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₦12,225.00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₦175,225.00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FCMB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AquaFlow Plumbing Services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4021357896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All installed parts are warranted by the manufacturer. Please contact us immediately if any leaks recur. Thank you for choosing AquaFlow.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due on completion unless a service contract is in place. Emergency surcharge applies outside of 8 AM – 6 PM weekdays.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2026-04-17T22:25:58.946Z</dcterms:created>
  <dcterms:modified xsi:type="dcterms:W3CDTF">2026-04-17T22:25:58.946Z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