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Your Business Name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DC2626"/>
                <w:sz w:val="44"/>
                <w:szCs w:val="44"/>
              </w:rPr>
              <w:t xml:space="preserve">TAX 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TAX-0042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DC2626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Acme Nigeria Limited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45 Victoria Island Boulevard
Victoria Island, Lagos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87654321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DC2626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PO Number: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PO-2026-ACM-017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Payment Terms: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Net 30 Days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VAT Note: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Charged per FIRS regulations (VAT Act Cap. V1 LFN 2004)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Consulting Package — Q2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₦450,000.00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₦450,000.00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Monthly Retainer (April)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₦150,000.00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Research &amp; Reporting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₦125,000.00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₦725,000.00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₦54,375.00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DC2626"/>
                <w:sz w:val="26"/>
                <w:szCs w:val="26"/>
              </w:rPr>
              <w:t xml:space="preserve">₦779,375.00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First Bank of Nigeria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Your Business Name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2012345678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Thank you for your business. This tax invoice is FIRS-compliant and may be used by the buyer to claim input VAT credit.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Payment is due within 30 days of invoice date. A 1.5% per month late fee applies to overdue balances. Disputes must be raised within 7 days of receipt.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INVOICE Template</dc:title>
  <dc:creator>InvoiceGenerator.ng</dc:creator>
  <cp:lastModifiedBy>Un-named</cp:lastModifiedBy>
  <cp:revision>1</cp:revision>
  <dcterms:created xsi:type="dcterms:W3CDTF">2026-04-17T22:25:57.076Z</dcterms:created>
  <dcterms:modified xsi:type="dcterms:W3CDTF">2026-04-17T22:25:57.076Z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