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THREE</w:t>
        <w:br/>
        <w:t>METHODOLOGY</w:t>
      </w:r>
    </w:p>
    <w:p>
      <w:r>
        <w:t>This chapter presents the methodology used to develop and evaluate the explainable, leakage-controlled XGBoost–LightGBM ensemble for Junior High School (JHS) academic-performance early warning in Ghana. The chapter follows the prescribed 16-section Methods order and documents the executed study design, data acquisition and linkage, ethical governance, preprocessing, feature engineering, model specification, training configuration, experimental controls, evaluation metrics, statistical analysis, ablation procedure, reproducibility, required artefacts and supervisor verification. The final modelling design retains the term-level structure of the source records so that Term 3 at-risk status is predicted from information available in Terms 1 and 2.</w:t>
      </w:r>
    </w:p>
    <w:p>
      <w:pPr>
        <w:spacing w:after="200"/>
        <w:jc w:val="center"/>
      </w:pPr>
      <w:r>
        <w:rPr>
          <w:b/>
          <w:sz w:val="28"/>
        </w:rPr>
        <w:t>SHAP-Driven Fairness-Aware XGBoost–LightGBM Ensemble for Predicting Junior High School Academic Performance in Ghana: An Explainable Decision Support Study</w:t>
      </w:r>
    </w:p>
    <w:p>
      <w:pPr>
        <w:spacing w:after="80"/>
        <w:jc w:val="left"/>
      </w:pPr>
      <w:r>
        <w:rPr>
          <w:b/>
          <w:sz w:val="24"/>
        </w:rPr>
        <w:t>PROBLEM STATEMENT</w:t>
      </w:r>
    </w:p>
    <w:p>
      <w:pPr>
        <w:spacing w:after="120"/>
        <w:jc w:val="both"/>
      </w:pPr>
      <w:r>
        <w:rPr>
          <w:b w:val="0"/>
          <w:sz w:val="22"/>
        </w:rPr>
        <w:t>Quality basic education remains a persistent developmental challenge in sub-Saharan Africa, and the research proposal identifies academic underperformance at the Junior High School level in Ghana as an important educational concern. The proposal notes that underperformance in core subjects and the risks associated with the JHS3 transition create a need for data-driven approaches capable of identifying students who may require timely support. Existing machine-learning approaches can provide useful predictions, but many remain difficult for teachers to interpret and translate into practical intervention decisions.</w:t>
      </w:r>
    </w:p>
    <w:p>
      <w:pPr>
        <w:spacing w:after="120"/>
        <w:jc w:val="both"/>
      </w:pPr>
      <w:r>
        <w:rPr>
          <w:b w:val="0"/>
          <w:sz w:val="22"/>
        </w:rPr>
        <w:t>A further problem identified in the proposal is the limited representation of Ghanaian Junior High School settings in the educational machine-learning literature. Existing work has commonly focused on higher-education populations or on contexts outside Ghana, while explainability and demographic subgroup assessment have not been consistently integrated into basic-education performance prediction. The proposal's May 2026 Scopus search using XGBoost/LightGBM, SHAP, Junior High School/basic education and Ghana/sub-Saharan Africa terms returned zero results combining all four dimensions.</w:t>
      </w:r>
    </w:p>
    <w:p>
      <w:pPr>
        <w:spacing w:after="80"/>
        <w:jc w:val="left"/>
      </w:pPr>
      <w:r>
        <w:rPr>
          <w:b/>
          <w:sz w:val="24"/>
        </w:rPr>
        <w:t>SOLUTION STATEMENT</w:t>
      </w:r>
    </w:p>
    <w:p>
      <w:pPr>
        <w:spacing w:after="120"/>
        <w:jc w:val="both"/>
      </w:pPr>
      <w:r>
        <w:rPr>
          <w:b w:val="0"/>
          <w:sz w:val="22"/>
        </w:rPr>
        <w:t>The study addresses this problem by developing and evaluating a leakage-controlled XGBoost–LightGBM soft-voting ensemble that uses academic and attendance information available in Terms 1 and 2 to predict Term 3 at-risk status. SHAP-based global and individual-level explanations are used to show how the predictors contribute to the model's predictions, while subgroup-disaggregated evaluation examines whether predictive performance differs by gender and class level. The resulting framework is intended as an explainable decision-support approach for identifying students who may require attention before the Term 3 outcome is observed.</w:t>
      </w:r>
    </w:p>
    <w:p>
      <w:pPr>
        <w:spacing w:after="80"/>
        <w:jc w:val="left"/>
      </w:pPr>
      <w:r>
        <w:rPr>
          <w:b/>
          <w:sz w:val="24"/>
        </w:rPr>
        <w:t>OBJECTIVES</w:t>
      </w:r>
    </w:p>
    <w:p>
      <w:pPr>
        <w:spacing w:after="120"/>
        <w:jc w:val="both"/>
      </w:pPr>
      <w:r>
        <w:rPr>
          <w:b w:val="0"/>
          <w:sz w:val="22"/>
        </w:rPr>
        <w:t>Objective 1: To develop and evaluate a leakage-controlled XGBoost–LightGBM ensemble for predicting Term 3 at-risk status, defined from academic performance, using term-level academic and attendance records available in Terms 1 and 2.</w:t>
      </w:r>
    </w:p>
    <w:p>
      <w:pPr>
        <w:spacing w:after="120"/>
        <w:jc w:val="both"/>
      </w:pPr>
      <w:r>
        <w:rPr>
          <w:b w:val="0"/>
          <w:sz w:val="22"/>
        </w:rPr>
        <w:t>Objective 2: To apply SHAP-based global and individual-level explanations to identify and interpret the contributions of academic, attendance, demographic and temporal predictors to the ensemble's Term 3 at-risk predictions.</w:t>
      </w:r>
    </w:p>
    <w:p>
      <w:pPr>
        <w:spacing w:after="120"/>
        <w:jc w:val="both"/>
      </w:pPr>
      <w:r>
        <w:rPr>
          <w:b w:val="0"/>
          <w:sz w:val="22"/>
        </w:rPr>
        <w:t>Objective 3: To evaluate predictive disparities in the ensemble across gender and class-level subgroups using subgroup-disaggregated performance measures.</w:t>
      </w:r>
    </w:p>
    <w:p>
      <w:r>
        <w:t>3.1 Study Design and System Overview</w:t>
      </w:r>
    </w:p>
    <w:p>
      <w:r>
        <w:t>The study adopted a quantitative, experimental machine-learning design. The design was selected to permit numerical evaluation of an early-warning classification task, controlled comparison of XGBoost and LightGBM, construction of a weighted ensemble, post-hoc explainability, and assessment of predictive disparity across gender and class-level subgroups.</w:t>
      </w:r>
    </w:p>
    <w:p>
      <w:r>
        <w:t>A student-year aggregate design using all three terms to predict an end-of-year outcome was not retained because it would make the recency mechanism retrospective and would prevent the system from issuing a Term 3 warning before the outcome was observed. The final design therefore retained the term-level structure of records collected from multiple public JHS, with the study boundary limited to the participating schools and the two observed academic years.</w:t>
      </w:r>
    </w:p>
    <w:p>
      <w:r>
        <w:t>The final analysis unit was a student-year trajectory with term-level measurements retained within the year. For each eligible trajectory, Term 3 academic performance was predicted from Term 1 and Term 2 academic and attendance information. The principal outcome was binary At Risk status, defined from the Term 3 score. Student-level grouping was used when partitioning the data so that the same student could not occur in more than one of the training, validation, and test sets.</w:t>
      </w:r>
    </w:p>
    <w:p>
      <w:r>
        <w:t>The theoretical framing was Student Engagement Theory, with emphasis on the behavioural-engagement dimension represented by observable school attendance. The theory motivated the inclusion of Term 1 and Term 2 attendance measures and the temporal attendance-decay representation. It was used as an interpretive framework rather than as a basis for causal inference. The school records capture observable behavioural engagement more directly than emotional or cognitive engagement; therefore, the theoretical interpretation was restricted to the constructs represented in the available records.</w:t>
      </w:r>
    </w:p>
    <w:p>
      <w:r>
        <w:drawing>
          <wp:inline xmlns:a="http://schemas.openxmlformats.org/drawingml/2006/main" xmlns:pic="http://schemas.openxmlformats.org/drawingml/2006/picture">
            <wp:extent cx="5852160" cy="2969201"/>
            <wp:docPr id="1" name="Picture 1"/>
            <wp:cNvGraphicFramePr>
              <a:graphicFrameLocks noChangeAspect="1"/>
            </wp:cNvGraphicFramePr>
            <a:graphic>
              <a:graphicData uri="http://schemas.openxmlformats.org/drawingml/2006/picture">
                <pic:pic>
                  <pic:nvPicPr>
                    <pic:cNvPr id="0" name="Figure_3_1_Overall_Study_and_Modelling_Pipeline.png"/>
                    <pic:cNvPicPr/>
                  </pic:nvPicPr>
                  <pic:blipFill>
                    <a:blip r:embed="rId9"/>
                    <a:stretch>
                      <a:fillRect/>
                    </a:stretch>
                  </pic:blipFill>
                  <pic:spPr>
                    <a:xfrm>
                      <a:off x="0" y="0"/>
                      <a:ext cx="5852160" cy="2969201"/>
                    </a:xfrm>
                    <a:prstGeom prst="rect"/>
                  </pic:spPr>
                </pic:pic>
              </a:graphicData>
            </a:graphic>
          </wp:inline>
        </w:drawing>
      </w:r>
    </w:p>
    <w:p>
      <w:r>
        <w:t>The methodology was explicitly aligned to the three study objectives and their corresponding research questions.</w:t>
      </w:r>
    </w:p>
    <w:p>
      <w:r>
        <w:t>Objective 1: To develop and evaluate a leakage-controlled XGBoost–LightGBM ensemble for predicting Term 3 at-risk status, defined from academic performance, using term-level academic and attendance records available in Terms 1 and 2.</w:t>
      </w:r>
    </w:p>
    <w:p>
      <w:r>
        <w:t>Objective 2: To apply SHAP-based global and individual-level explanations to identify and interpret the contributions of academic, attendance, demographic and temporal predictors to the ensemble's Term 3 at-risk predictions.</w:t>
      </w:r>
    </w:p>
    <w:p>
      <w:r>
        <w:t>Objective 3: To assess predictive performance disparities across gender and JHS class-level subgroups using disaggregated classification performance and error-rate measures.</w:t>
      </w:r>
    </w:p>
    <w:p>
      <w:r>
        <w:t>Research questions: RQ1 addresses predictive performance for the Term 3 at-risk outcome; RQ2 addresses feature contributions identified through SHAP; and RQ3 addresses predictive-performance differences across gender and estimable JHS class-level subgroups.</w:t>
      </w:r>
    </w:p>
    <w:p>
      <w:r>
        <w:t>Theory-to-feature traceability: behavioural engagement was operationalised through attendance_t1 and attendance_t2, while attendance_decay represented the temporal pattern of the same observable behavioural construct. Term 1 and Term 2 academic scores represented prior academic indicators used for prediction. The theory did not assign causal meaning to any feature or prediction.</w:t>
      </w:r>
    </w:p>
    <w:p>
      <w:pPr>
        <w:jc w:val="center"/>
      </w:pPr>
      <w:r>
        <w:rPr>
          <w:rFonts w:ascii="Times New Roman" w:hAnsi="Times New Roman"/>
          <w:b/>
          <w:sz w:val="20"/>
        </w:rPr>
        <w:t>Figure 3.1. Overall study and modelling pipeline.</w:t>
      </w:r>
    </w:p>
    <w:p>
      <w:r>
        <w:t>3.2 Research Setting and Data Acquisition (Hybrid: Public + Field/System Log)</w:t>
      </w:r>
    </w:p>
    <w:p>
      <w:r>
        <w:t>The study was conducted in Korle Klottey Municipality in the Greater Accra Region of Ghana. The institutional source was multiple public Junior High Schools, anonymised as the participating public JHS schools. The source population comprised historical records for JHS1, JHS2 and JHS3 students covering the 2022–2023 and 2023–2024 academic years.</w:t>
      </w:r>
    </w:p>
    <w:p>
      <w:r>
        <w:t>The source workbook contained six term-level sheets, with 400 student records per sheet, giving 2,400 term-level records before analytical eligibility filtering. No separate public dataset was merged into the primary experiment. The prescribed heading is retained to preserve the supervisor-approved Methods structure; the executed experiment used institutional records from the participating public JHS as its primary source.</w:t>
      </w:r>
    </w:p>
    <w:p>
      <w:r>
        <w:t>The study boundary was therefore multiple public JHS in Korle Klottey Municipality over two academic years. Generalisation beyond this setting was not treated as established by the experiment.</w:t>
      </w:r>
    </w:p>
    <w:p>
      <w:r>
        <w:t>The main variables captured from the institutional records are summarised in Table 3.1.</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Variable</w:t>
            </w:r>
          </w:p>
        </w:tc>
        <w:tc>
          <w:tcPr>
            <w:tcW w:type="dxa" w:w="3135"/>
            <w:vAlign w:val="center"/>
          </w:tcPr>
          <w:p>
            <w:r>
              <w:rPr>
                <w:rFonts w:ascii="Times New Roman" w:hAnsi="Times New Roman"/>
                <w:b/>
                <w:sz w:val="20"/>
              </w:rPr>
              <w:t>Description</w:t>
            </w:r>
          </w:p>
        </w:tc>
        <w:tc>
          <w:tcPr>
            <w:tcW w:type="dxa" w:w="3135"/>
            <w:vAlign w:val="center"/>
          </w:tcPr>
          <w:p>
            <w:r>
              <w:rPr>
                <w:rFonts w:ascii="Times New Roman" w:hAnsi="Times New Roman"/>
                <w:b/>
                <w:sz w:val="20"/>
              </w:rPr>
              <w:t>Analytical role</w:t>
            </w:r>
          </w:p>
        </w:tc>
      </w:tr>
      <w:tr>
        <w:tc>
          <w:tcPr>
            <w:tcW w:type="dxa" w:w="3135"/>
            <w:vAlign w:val="center"/>
          </w:tcPr>
          <w:p>
            <w:r>
              <w:rPr>
                <w:rFonts w:ascii="Times New Roman" w:hAnsi="Times New Roman"/>
                <w:sz w:val="20"/>
              </w:rPr>
              <w:t>student_id</w:t>
            </w:r>
          </w:p>
        </w:tc>
        <w:tc>
          <w:tcPr>
            <w:tcW w:type="dxa" w:w="3135"/>
            <w:vAlign w:val="center"/>
          </w:tcPr>
          <w:p>
            <w:r>
              <w:rPr>
                <w:rFonts w:ascii="Times New Roman" w:hAnsi="Times New Roman"/>
                <w:sz w:val="20"/>
              </w:rPr>
              <w:t>Anonymised student identifier</w:t>
            </w:r>
          </w:p>
        </w:tc>
        <w:tc>
          <w:tcPr>
            <w:tcW w:type="dxa" w:w="3135"/>
            <w:vAlign w:val="center"/>
          </w:tcPr>
          <w:p>
            <w:r>
              <w:rPr>
                <w:rFonts w:ascii="Times New Roman" w:hAnsi="Times New Roman"/>
                <w:sz w:val="20"/>
              </w:rPr>
              <w:t>Record linkage; grouping variable for leakage control</w:t>
            </w:r>
          </w:p>
        </w:tc>
      </w:tr>
      <w:tr>
        <w:tc>
          <w:tcPr>
            <w:tcW w:type="dxa" w:w="3135"/>
            <w:vAlign w:val="center"/>
          </w:tcPr>
          <w:p>
            <w:r>
              <w:rPr>
                <w:rFonts w:ascii="Times New Roman" w:hAnsi="Times New Roman"/>
                <w:sz w:val="20"/>
              </w:rPr>
              <w:t>class_level</w:t>
            </w:r>
          </w:p>
        </w:tc>
        <w:tc>
          <w:tcPr>
            <w:tcW w:type="dxa" w:w="3135"/>
            <w:vAlign w:val="center"/>
          </w:tcPr>
          <w:p>
            <w:r>
              <w:rPr>
                <w:rFonts w:ascii="Times New Roman" w:hAnsi="Times New Roman"/>
                <w:sz w:val="20"/>
              </w:rPr>
              <w:t>JHS1, JHS2 or JHS3</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academic_year</w:t>
            </w:r>
          </w:p>
        </w:tc>
        <w:tc>
          <w:tcPr>
            <w:tcW w:type="dxa" w:w="3135"/>
            <w:vAlign w:val="center"/>
          </w:tcPr>
          <w:p>
            <w:r>
              <w:rPr>
                <w:rFonts w:ascii="Times New Roman" w:hAnsi="Times New Roman"/>
                <w:sz w:val="20"/>
              </w:rPr>
              <w:t>2022–2023 or 2023–2024</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gender</w:t>
            </w:r>
          </w:p>
        </w:tc>
        <w:tc>
          <w:tcPr>
            <w:tcW w:type="dxa" w:w="3135"/>
            <w:vAlign w:val="center"/>
          </w:tcPr>
          <w:p>
            <w:r>
              <w:rPr>
                <w:rFonts w:ascii="Times New Roman" w:hAnsi="Times New Roman"/>
                <w:sz w:val="20"/>
              </w:rPr>
              <w:t>Female or Male</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age_years</w:t>
            </w:r>
          </w:p>
        </w:tc>
        <w:tc>
          <w:tcPr>
            <w:tcW w:type="dxa" w:w="3135"/>
            <w:vAlign w:val="center"/>
          </w:tcPr>
          <w:p>
            <w:r>
              <w:rPr>
                <w:rFonts w:ascii="Times New Roman" w:hAnsi="Times New Roman"/>
                <w:sz w:val="20"/>
              </w:rPr>
              <w:t>Student age in years</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days_present</w:t>
            </w:r>
          </w:p>
        </w:tc>
        <w:tc>
          <w:tcPr>
            <w:tcW w:type="dxa" w:w="3135"/>
            <w:vAlign w:val="center"/>
          </w:tcPr>
          <w:p>
            <w:r>
              <w:rPr>
                <w:rFonts w:ascii="Times New Roman" w:hAnsi="Times New Roman"/>
                <w:sz w:val="20"/>
              </w:rPr>
              <w:t>Days present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total_school_days</w:t>
            </w:r>
          </w:p>
        </w:tc>
        <w:tc>
          <w:tcPr>
            <w:tcW w:type="dxa" w:w="3135"/>
            <w:vAlign w:val="center"/>
          </w:tcPr>
          <w:p>
            <w:r>
              <w:rPr>
                <w:rFonts w:ascii="Times New Roman" w:hAnsi="Times New Roman"/>
                <w:sz w:val="20"/>
              </w:rPr>
              <w:t>School days available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attendance_rate_%</w:t>
            </w:r>
          </w:p>
        </w:tc>
        <w:tc>
          <w:tcPr>
            <w:tcW w:type="dxa" w:w="3135"/>
            <w:vAlign w:val="center"/>
          </w:tcPr>
          <w:p>
            <w:r>
              <w:rPr>
                <w:rFonts w:ascii="Times New Roman" w:hAnsi="Times New Roman"/>
                <w:sz w:val="20"/>
              </w:rPr>
              <w:t>Attendance percentage</w:t>
            </w:r>
          </w:p>
        </w:tc>
        <w:tc>
          <w:tcPr>
            <w:tcW w:type="dxa" w:w="3135"/>
            <w:vAlign w:val="center"/>
          </w:tcPr>
          <w:p>
            <w:r>
              <w:rPr>
                <w:rFonts w:ascii="Times New Roman" w:hAnsi="Times New Roman"/>
                <w:sz w:val="20"/>
              </w:rPr>
              <w:t>Primary attendance representation</w:t>
            </w:r>
          </w:p>
        </w:tc>
      </w:tr>
      <w:tr>
        <w:tc>
          <w:tcPr>
            <w:tcW w:type="dxa" w:w="3135"/>
            <w:vAlign w:val="center"/>
          </w:tcPr>
          <w:p>
            <w:r>
              <w:rPr>
                <w:rFonts w:ascii="Times New Roman" w:hAnsi="Times New Roman"/>
                <w:sz w:val="20"/>
              </w:rPr>
              <w:t>score_mathematics</w:t>
            </w:r>
          </w:p>
        </w:tc>
        <w:tc>
          <w:tcPr>
            <w:tcW w:type="dxa" w:w="3135"/>
            <w:vAlign w:val="center"/>
          </w:tcPr>
          <w:p>
            <w:r>
              <w:rPr>
                <w:rFonts w:ascii="Times New Roman" w:hAnsi="Times New Roman"/>
                <w:sz w:val="20"/>
              </w:rPr>
              <w:t>Mathematics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score_english</w:t>
            </w:r>
          </w:p>
        </w:tc>
        <w:tc>
          <w:tcPr>
            <w:tcW w:type="dxa" w:w="3135"/>
            <w:vAlign w:val="center"/>
          </w:tcPr>
          <w:p>
            <w:r>
              <w:rPr>
                <w:rFonts w:ascii="Times New Roman" w:hAnsi="Times New Roman"/>
                <w:sz w:val="20"/>
              </w:rPr>
              <w:t>English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score_science</w:t>
            </w:r>
          </w:p>
        </w:tc>
        <w:tc>
          <w:tcPr>
            <w:tcW w:type="dxa" w:w="3135"/>
            <w:vAlign w:val="center"/>
          </w:tcPr>
          <w:p>
            <w:r>
              <w:rPr>
                <w:rFonts w:ascii="Times New Roman" w:hAnsi="Times New Roman"/>
                <w:sz w:val="20"/>
              </w:rPr>
              <w:t>Science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score_social_studies</w:t>
            </w:r>
          </w:p>
        </w:tc>
        <w:tc>
          <w:tcPr>
            <w:tcW w:type="dxa" w:w="3135"/>
            <w:vAlign w:val="center"/>
          </w:tcPr>
          <w:p>
            <w:r>
              <w:rPr>
                <w:rFonts w:ascii="Times New Roman" w:hAnsi="Times New Roman"/>
                <w:sz w:val="20"/>
              </w:rPr>
              <w:t>Social Studies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term_average_score</w:t>
            </w:r>
          </w:p>
        </w:tc>
        <w:tc>
          <w:tcPr>
            <w:tcW w:type="dxa" w:w="3135"/>
            <w:vAlign w:val="center"/>
          </w:tcPr>
          <w:p>
            <w:r>
              <w:rPr>
                <w:rFonts w:ascii="Times New Roman" w:hAnsi="Times New Roman"/>
                <w:sz w:val="20"/>
              </w:rPr>
              <w:t>Term-level academic average</w:t>
            </w:r>
          </w:p>
        </w:tc>
        <w:tc>
          <w:tcPr>
            <w:tcW w:type="dxa" w:w="3135"/>
            <w:vAlign w:val="center"/>
          </w:tcPr>
          <w:p>
            <w:r>
              <w:rPr>
                <w:rFonts w:ascii="Times New Roman" w:hAnsi="Times New Roman"/>
                <w:sz w:val="20"/>
              </w:rPr>
              <w:t>Target construction</w:t>
            </w:r>
          </w:p>
        </w:tc>
      </w:tr>
      <w:tr>
        <w:tc>
          <w:tcPr>
            <w:tcW w:type="dxa" w:w="3135"/>
            <w:vAlign w:val="center"/>
          </w:tcPr>
          <w:p>
            <w:r>
              <w:rPr>
                <w:rFonts w:ascii="Times New Roman" w:hAnsi="Times New Roman"/>
                <w:sz w:val="20"/>
              </w:rPr>
              <w:t>at_risk</w:t>
            </w:r>
          </w:p>
        </w:tc>
        <w:tc>
          <w:tcPr>
            <w:tcW w:type="dxa" w:w="3135"/>
            <w:vAlign w:val="center"/>
          </w:tcPr>
          <w:p>
            <w:r>
              <w:rPr>
                <w:rFonts w:ascii="Times New Roman" w:hAnsi="Times New Roman"/>
                <w:sz w:val="20"/>
              </w:rPr>
              <w:t>1 when Term 3 score &lt;50; otherwise 0</w:t>
            </w:r>
          </w:p>
        </w:tc>
        <w:tc>
          <w:tcPr>
            <w:tcW w:type="dxa" w:w="3135"/>
            <w:vAlign w:val="center"/>
          </w:tcPr>
          <w:p>
            <w:r>
              <w:rPr>
                <w:rFonts w:ascii="Times New Roman" w:hAnsi="Times New Roman"/>
                <w:sz w:val="20"/>
              </w:rPr>
              <w:t>Final classification target</w:t>
            </w:r>
          </w:p>
        </w:tc>
      </w:tr>
      <w:tr>
        <w:tc>
          <w:tcPr>
            <w:tcW w:type="dxa" w:w="3135"/>
            <w:vAlign w:val="center"/>
          </w:tcPr>
          <w:p>
            <w:r>
              <w:rPr>
                <w:rFonts w:ascii="Times New Roman" w:hAnsi="Times New Roman"/>
                <w:sz w:val="20"/>
              </w:rPr>
              <w:t>meals_access</w:t>
            </w:r>
          </w:p>
        </w:tc>
        <w:tc>
          <w:tcPr>
            <w:tcW w:type="dxa" w:w="3135"/>
            <w:vAlign w:val="center"/>
          </w:tcPr>
          <w:p>
            <w:r>
              <w:rPr>
                <w:rFonts w:ascii="Times New Roman" w:hAnsi="Times New Roman"/>
                <w:sz w:val="20"/>
              </w:rPr>
              <w:t>Recorded access indicator</w:t>
            </w:r>
          </w:p>
        </w:tc>
        <w:tc>
          <w:tcPr>
            <w:tcW w:type="dxa" w:w="3135"/>
            <w:vAlign w:val="center"/>
          </w:tcPr>
          <w:p>
            <w:r>
              <w:rPr>
                <w:rFonts w:ascii="Times New Roman" w:hAnsi="Times New Roman"/>
                <w:sz w:val="20"/>
              </w:rPr>
              <w:t>Excluded because no variation was observed</w:t>
            </w:r>
          </w:p>
        </w:tc>
      </w:tr>
      <w:tr>
        <w:tc>
          <w:tcPr>
            <w:tcW w:type="dxa" w:w="3135"/>
            <w:vAlign w:val="center"/>
          </w:tcPr>
          <w:p>
            <w:r>
              <w:rPr>
                <w:rFonts w:ascii="Times New Roman" w:hAnsi="Times New Roman"/>
                <w:sz w:val="20"/>
              </w:rPr>
              <w:t>distance_km</w:t>
            </w:r>
          </w:p>
        </w:tc>
        <w:tc>
          <w:tcPr>
            <w:tcW w:type="dxa" w:w="3135"/>
            <w:vAlign w:val="center"/>
          </w:tcPr>
          <w:p>
            <w:r>
              <w:rPr>
                <w:rFonts w:ascii="Times New Roman" w:hAnsi="Times New Roman"/>
                <w:sz w:val="20"/>
              </w:rPr>
              <w:t>Distance measure</w:t>
            </w:r>
          </w:p>
        </w:tc>
        <w:tc>
          <w:tcPr>
            <w:tcW w:type="dxa" w:w="3135"/>
            <w:vAlign w:val="center"/>
          </w:tcPr>
          <w:p>
            <w:r>
              <w:rPr>
                <w:rFonts w:ascii="Times New Roman" w:hAnsi="Times New Roman"/>
                <w:sz w:val="20"/>
              </w:rPr>
              <w:t>Excluded because values were unavailable</w:t>
            </w:r>
          </w:p>
        </w:tc>
      </w:tr>
      <w:tr>
        <w:tc>
          <w:tcPr>
            <w:tcW w:type="dxa" w:w="3135"/>
            <w:vAlign w:val="center"/>
          </w:tcPr>
          <w:p>
            <w:r>
              <w:rPr>
                <w:rFonts w:ascii="Times New Roman" w:hAnsi="Times New Roman"/>
                <w:sz w:val="20"/>
              </w:rPr>
              <w:t>repeat_student</w:t>
            </w:r>
          </w:p>
        </w:tc>
        <w:tc>
          <w:tcPr>
            <w:tcW w:type="dxa" w:w="3135"/>
            <w:vAlign w:val="center"/>
          </w:tcPr>
          <w:p>
            <w:r>
              <w:rPr>
                <w:rFonts w:ascii="Times New Roman" w:hAnsi="Times New Roman"/>
                <w:sz w:val="20"/>
              </w:rPr>
              <w:t>Repeat indicator</w:t>
            </w:r>
          </w:p>
        </w:tc>
        <w:tc>
          <w:tcPr>
            <w:tcW w:type="dxa" w:w="3135"/>
            <w:vAlign w:val="center"/>
          </w:tcPr>
          <w:p>
            <w:r>
              <w:rPr>
                <w:rFonts w:ascii="Times New Roman" w:hAnsi="Times New Roman"/>
                <w:sz w:val="20"/>
              </w:rPr>
              <w:t>Excluded because no variation was observed</w:t>
            </w:r>
          </w:p>
        </w:tc>
      </w:tr>
    </w:tbl>
    <w:p/>
    <w:p>
      <w:pPr>
        <w:jc w:val="center"/>
      </w:pPr>
      <w:r>
        <w:rPr>
          <w:rFonts w:ascii="Times New Roman" w:hAnsi="Times New Roman"/>
          <w:b/>
          <w:sz w:val="20"/>
        </w:rPr>
        <w:t>Table 3.1. Variables collected/captured and their analytical roles.</w:t>
      </w:r>
    </w:p>
    <w:p>
      <w:r>
        <w:t>3.3 Hybrid Data Fusion Strategy</w:t>
      </w:r>
    </w:p>
    <w:p>
      <w:r>
        <w:t>The term-level records were linked within student and academic year using the verified anonymised student identifier. The analysis did not average Terms 1–3 into a single end-of-year outcome for the final supervised experiment. Instead, the temporal structure was retained so that Terms 1 and 2 supplied predictors and Term 3 supplied the supervised outcome.</w:t>
      </w:r>
    </w:p>
    <w:p>
      <w:r>
        <w:t>Identifier auditing showed 400 records per term sheet and no duplicate student identifiers within any sheet. Within each academic year, the same 400 student identifiers were present across the three terms. Across the two academic years, 340 students appeared in both years, giving 460 unique students across the six term sheets. Year-to-year class progression was consistent with 201 JHS1→JHS2 and 139 JHS2→JHS3 transitions among the 340 students observed in both years.</w:t>
      </w:r>
    </w:p>
    <w:p>
      <w:r>
        <w:t>The attrition cascade for the supervised Term 3 task was therefore: 2,400 term records → 800 student-year trajectories → 259 trajectories without an observed Term 3 academic outcome → 541 eligible supervised student-year observations. The 259 ineligible trajectories comprised 60 JHS3 trajectories in 2022–2023 and 199 JHS3 trajectories in 2023–2024. These records were not imputed because the absence of the Term 3 academic outcome was attributable to the institutional examination/completion structure: JHS3 students did not complete the ordinary Term 3 academic period before the BECE-related completion point.</w:t>
      </w:r>
    </w:p>
    <w:p>
      <w:r>
        <w:t>The final supervised dataset contained 541 observations involving 340 unique students. There were 420 Not At Risk observations and 121 At Risk observations.</w:t>
      </w:r>
    </w:p>
    <w:p>
      <w:r>
        <w:t>3.4 Ethical Compliance and Data Governance</w:t>
      </w:r>
    </w:p>
    <w:p>
      <w:r>
        <w:t>The study involved academic, attendance and demographic information relating to school students. Direct student names were not used in the analytical dataset; anonymised study identifiers were used for record linkage. Results were designed to be reported in aggregate and subgroup form without disclosure of personally identifiable student information.</w:t>
      </w:r>
    </w:p>
    <w:p>
      <w:r>
        <w:t>Ethical clearance through the Kwame Nkrumah University of Science and Technology Humanities and Social Sciences Research Ethics Committee (HUSSREC), together with the relevant institutional/municipal authorisation, was treated as a prerequisite for the study. The official HUSSREC reference number has not yet been received and is therefore not stated in this chapter. It will be inserted exactly as shown on the official approval document when received, together with the relevant institutional authorisation details.</w:t>
      </w:r>
    </w:p>
    <w:p>
      <w:r>
        <w:t>The raw institutional workbook and processed student-level datasets were excluded from the public version-control workflow because of privacy and ethical restrictions. The public reproducibility artefacts consist of code and non-sensitive generated outputs.</w:t>
      </w:r>
    </w:p>
    <w:p>
      <w:r>
        <w:t>3.5 Data Preprocessing Pipeline</w:t>
      </w:r>
    </w:p>
    <w:p>
      <w:r>
        <w:t>Preprocessing followed a documented sequence: source-sheet validation, student-ID consistency checks, duplicate checks, missingness assessment, construction of student-year trajectories, eligibility filtering for observed Term 3 outcomes, target construction, predictor selection, attendance representation, student-level partitioning, and categorical encoding.</w:t>
      </w:r>
    </w:p>
    <w:p>
      <w:r>
        <w:t>The missingness audit identified small numbers of isolated missing subject values in some early terms. More importantly, Term 3 academic scores and Term 3 term-average scores were systematically absent for 60 JHS3 trajectories in 2022–2023 and 199 JHS3 trajectories in 2023–2024. These 259 trajectories were excluded from supervised Term 3 prediction because the target was unavailable. No imputation was used for the missing Term 3 target.</w:t>
      </w:r>
    </w:p>
    <w:p>
      <w:r>
        <w:t>Attendance consistency checks showed that recorded attendance percentages were closely aligned with rates recalculated from days present and total school days. The primary predictor specification therefore retained the normalised attendance rate rather than simultaneously entering the attendance numerator, denominator and rate, avoiding multiple representations of the same construct.</w:t>
      </w:r>
    </w:p>
    <w:p>
      <w:r>
        <w:t>The variables meals_access and repeat_student had no observed variation, while distance_km was unavailable. These variables were excluded because they could not provide discriminating information. Subject scores used to construct the Term 3 academic outcome were not used as predictors for the same Term 3 outcome, thereby preventing target leakage.</w:t>
      </w:r>
    </w:p>
    <w:p>
      <w:r>
        <w:t>The categorical variables gender, class_level and academic_year were one-hot encoded. The final canonical feature matrix contained 12 columns: score_t1, score_t2, attendance_t1, attendance_t2, attendance_decay, age_years, gender_F, gender_M, class_level_JHS1, class_level_JHS2, academic_year_2022-23 and academic_year_2023-24.</w:t>
      </w:r>
    </w:p>
    <w:p>
      <w:r>
        <w:t>3.6 Feature Engineering</w:t>
      </w:r>
    </w:p>
    <w:p>
      <w:r>
        <w:t>One model-engineering operation was retained: FABRICATE. The operation fabricated a temporal attendance-decay feature from Term 1 and Term 2 attendance rates. The feature was constructed to give greater influence to the more recent observed attendance while retaining earlier attendance information.</w:t>
      </w:r>
    </w:p>
    <w:p>
      <w:r>
        <w:t>For the early-warning prediction, the decay feature was calculated from the predictor terms available before the Term 3 outcome. With λ = 0.5, the normalised weights for Terms 1 and 2 were 0.377541 and 0.622459, respectively.</w:t>
      </w:r>
    </w:p>
    <w:p>
      <w:r>
        <w:t>The formulation was:</w:t>
      </w:r>
    </w:p>
    <w:p>
      <w:pPr>
        <w:jc w:val="center"/>
      </w:pPr>
      <w:r>
        <w:rPr>
          <w:i/>
        </w:rPr>
        <w:t>attendance_decay = Σ(wₜ × attendance_rateₜ),     wₜ ∝ exp(λ(t − T))</w:t>
      </w:r>
    </w:p>
    <w:p>
      <w:pPr>
        <w:jc w:val="center"/>
      </w:pPr>
      <w:r>
        <w:t>λ = 0.5;  w₁ = 0.377541;  w₂ = 0.622459</w:t>
      </w:r>
    </w:p>
    <w:p>
      <w:pPr>
        <w:jc w:val="center"/>
      </w:pPr>
      <w:r>
        <w:rPr>
          <w:rFonts w:ascii="Times New Roman" w:hAnsi="Times New Roman"/>
          <w:b/>
          <w:sz w:val="20"/>
        </w:rPr>
        <w:t>Equation 3.1. Temporal attendance-decay formulation and normalised Term 1–Term 2 weights.</w:t>
      </w:r>
    </w:p>
    <w:p>
      <w:r>
        <w:t>The value λ = 0.5 was treated as a fixed engineering parameter in the confirmatory experiment and was not selected using the held-out test set. The contribution of the engineered representation was assessed through the three-cell ablation described in Section 3.13. The at-risk score threshold of 50 was treated as an operational study definition rather than as a universal policy threshold. A post-hoc threshold sensitivity analysis at probability thresholds of 0.30, 0.40, 0.50, 0.60 and 0.70 was also conducted as a robustness analysis; the primary decision threshold remained fixed at 0.50 and was not selected from test-set results.</w:t>
      </w:r>
    </w:p>
    <w:p>
      <w:r>
        <w:t>3.7 Baseline Model Specification</w:t>
      </w:r>
    </w:p>
    <w:p>
      <w:r>
        <w:t>XGBoost and LightGBM were specified as the two component learners. Both were binary classifiers for the final early-warning task. The models received the same canonical predictor matrix and the same leakage-controlled student-level partitions.</w:t>
      </w:r>
    </w:p>
    <w:p>
      <w:r>
        <w:t>The primary ensemble combined the probability outputs of XGBoost and LightGBM using a weighted average. Ensemble weights were selected from a predefined grid on the validation set only. The final Seed 42 locked configuration used XGBoost weight 0.10 and LightGBM weight 0.90. Across the ten-seed analysis, the selected XGBoost weight varied from 0.10 to 0.40, with mean 0.27 and SD 0.1059; this variation was retained as part of the stability evidence rather than hidden.</w:t>
      </w:r>
    </w:p>
    <w:p>
      <w:r>
        <w:t>A naive majority-class comparator was included. It always predicted the majority Not At Risk class based on the training distribution. This comparator was used to establish whether the machine-learning system provided predictive value beyond a trivial prevalence-based rule.</w:t>
      </w:r>
    </w:p>
    <w:p>
      <w:r>
        <w:t>3.8 Model Engineering Contribution (ONE operation only: Fabricate OR Modify OR Remove OR Replace)</w:t>
      </w:r>
    </w:p>
    <w:p>
      <w:r>
        <w:t>The single declared model-engineering operation was FABRICATE: construction of the temporal attendance-decay feature. No second engineering operation was claimed. The feature was introduced as an explicit temporal representation of attendance behaviour, with the Term 2 attendance observation receiving greater weight than Term 1.</w:t>
      </w:r>
    </w:p>
    <w:p>
      <w:r>
        <w:t>The engineered feature was included in the primary classification feature set rather than being isolated from the headline experiment. Its incremental contribution was then examined through the three-cell ablation: (A) standard 50:50 XGBoost–LightGBM without attendance decay, (B) 50:50 ensemble with attendance decay, and (C) validation-selected ensemble with attendance decay.</w:t>
      </w:r>
    </w:p>
    <w:p>
      <w:r>
        <w:t>3.9 Training Configuration and Computing Environment</w:t>
      </w:r>
    </w:p>
    <w:p>
      <w:r>
        <w:t>The models were implemented in Python 3.10 using a dedicated virtual environment. Pandas and NumPy supported data processing, scikit-learn supported preprocessing and evaluation, XGBoost and LightGBM provided the predictive learners, SHAP provided post-hoc explanations, and Matplotlib was used for visualisation.</w:t>
      </w:r>
    </w:p>
    <w:p>
      <w:r>
        <w:t>No hyperparameter search was performed in the final experiment. The two base learners used the same fixed model-development configuration across seeds, and the tuning budget was therefore zero for both arms. This was stated explicitly rather than described as optimisation. The ensemble weight, which is a combination parameter rather than a model hyperparameter, was selected on validation data only.</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Component</w:t>
            </w:r>
          </w:p>
        </w:tc>
        <w:tc>
          <w:tcPr>
            <w:tcW w:type="dxa" w:w="3135"/>
            <w:vAlign w:val="center"/>
          </w:tcPr>
          <w:p>
            <w:r>
              <w:rPr>
                <w:rFonts w:ascii="Times New Roman" w:hAnsi="Times New Roman"/>
                <w:b/>
                <w:sz w:val="20"/>
              </w:rPr>
              <w:t>Parameter / setting</w:t>
            </w:r>
          </w:p>
        </w:tc>
        <w:tc>
          <w:tcPr>
            <w:tcW w:type="dxa" w:w="3135"/>
            <w:vAlign w:val="center"/>
          </w:tcPr>
          <w:p>
            <w:r>
              <w:rPr>
                <w:rFonts w:ascii="Times New Roman" w:hAnsi="Times New Roman"/>
                <w:b/>
                <w:sz w:val="20"/>
              </w:rPr>
              <w:t>Executed value</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n_estimators</w:t>
            </w:r>
          </w:p>
        </w:tc>
        <w:tc>
          <w:tcPr>
            <w:tcW w:type="dxa" w:w="3135"/>
            <w:vAlign w:val="center"/>
          </w:tcPr>
          <w:p>
            <w:r>
              <w:rPr>
                <w:rFonts w:ascii="Times New Roman" w:hAnsi="Times New Roman"/>
                <w:sz w:val="20"/>
              </w:rPr>
              <w:t>300</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max_depth</w:t>
            </w:r>
          </w:p>
        </w:tc>
        <w:tc>
          <w:tcPr>
            <w:tcW w:type="dxa" w:w="3135"/>
            <w:vAlign w:val="center"/>
          </w:tcPr>
          <w:p>
            <w:r>
              <w:rPr>
                <w:rFonts w:ascii="Times New Roman" w:hAnsi="Times New Roman"/>
                <w:sz w:val="20"/>
              </w:rPr>
              <w:t>4</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learning_rate</w:t>
            </w:r>
          </w:p>
        </w:tc>
        <w:tc>
          <w:tcPr>
            <w:tcW w:type="dxa" w:w="3135"/>
            <w:vAlign w:val="center"/>
          </w:tcPr>
          <w:p>
            <w:r>
              <w:rPr>
                <w:rFonts w:ascii="Times New Roman" w:hAnsi="Times New Roman"/>
                <w:sz w:val="20"/>
              </w:rPr>
              <w:t>0.05</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subsample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colsample_bytree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n_estimators</w:t>
            </w:r>
          </w:p>
        </w:tc>
        <w:tc>
          <w:tcPr>
            <w:tcW w:type="dxa" w:w="3135"/>
            <w:vAlign w:val="center"/>
          </w:tcPr>
          <w:p>
            <w:r>
              <w:rPr>
                <w:rFonts w:ascii="Times New Roman" w:hAnsi="Times New Roman"/>
                <w:sz w:val="20"/>
              </w:rPr>
              <w:t>300</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max_depth</w:t>
            </w:r>
          </w:p>
        </w:tc>
        <w:tc>
          <w:tcPr>
            <w:tcW w:type="dxa" w:w="3135"/>
            <w:vAlign w:val="center"/>
          </w:tcPr>
          <w:p>
            <w:r>
              <w:rPr>
                <w:rFonts w:ascii="Times New Roman" w:hAnsi="Times New Roman"/>
                <w:sz w:val="20"/>
              </w:rPr>
              <w:t>4</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learning_rate</w:t>
            </w:r>
          </w:p>
        </w:tc>
        <w:tc>
          <w:tcPr>
            <w:tcW w:type="dxa" w:w="3135"/>
            <w:vAlign w:val="center"/>
          </w:tcPr>
          <w:p>
            <w:r>
              <w:rPr>
                <w:rFonts w:ascii="Times New Roman" w:hAnsi="Times New Roman"/>
                <w:sz w:val="20"/>
              </w:rPr>
              <w:t>0.05</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subsample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colsample_bytree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Randomisation</w:t>
            </w:r>
          </w:p>
        </w:tc>
        <w:tc>
          <w:tcPr>
            <w:tcW w:type="dxa" w:w="3135"/>
            <w:vAlign w:val="center"/>
          </w:tcPr>
          <w:p>
            <w:r>
              <w:rPr>
                <w:rFonts w:ascii="Times New Roman" w:hAnsi="Times New Roman"/>
                <w:sz w:val="20"/>
              </w:rPr>
              <w:t>Seeds</w:t>
            </w:r>
          </w:p>
        </w:tc>
        <w:tc>
          <w:tcPr>
            <w:tcW w:type="dxa" w:w="3135"/>
            <w:vAlign w:val="center"/>
          </w:tcPr>
          <w:p>
            <w:r>
              <w:rPr>
                <w:rFonts w:ascii="Times New Roman" w:hAnsi="Times New Roman"/>
                <w:sz w:val="20"/>
              </w:rPr>
              <w:t>42–51</w:t>
            </w:r>
          </w:p>
        </w:tc>
      </w:tr>
      <w:tr>
        <w:tc>
          <w:tcPr>
            <w:tcW w:type="dxa" w:w="3135"/>
            <w:vAlign w:val="center"/>
          </w:tcPr>
          <w:p>
            <w:r>
              <w:rPr>
                <w:rFonts w:ascii="Times New Roman" w:hAnsi="Times New Roman"/>
                <w:sz w:val="20"/>
              </w:rPr>
              <w:t>Classification threshold</w:t>
            </w:r>
          </w:p>
        </w:tc>
        <w:tc>
          <w:tcPr>
            <w:tcW w:type="dxa" w:w="3135"/>
            <w:vAlign w:val="center"/>
          </w:tcPr>
          <w:p>
            <w:r>
              <w:rPr>
                <w:rFonts w:ascii="Times New Roman" w:hAnsi="Times New Roman"/>
                <w:sz w:val="20"/>
              </w:rPr>
              <w:t>Probability threshold</w:t>
            </w:r>
          </w:p>
        </w:tc>
        <w:tc>
          <w:tcPr>
            <w:tcW w:type="dxa" w:w="3135"/>
            <w:vAlign w:val="center"/>
          </w:tcPr>
          <w:p>
            <w:r>
              <w:rPr>
                <w:rFonts w:ascii="Times New Roman" w:hAnsi="Times New Roman"/>
                <w:sz w:val="20"/>
              </w:rPr>
              <w:t>0.50</w:t>
            </w:r>
          </w:p>
        </w:tc>
      </w:tr>
      <w:tr>
        <w:tc>
          <w:tcPr>
            <w:tcW w:type="dxa" w:w="3135"/>
            <w:vAlign w:val="center"/>
          </w:tcPr>
          <w:p>
            <w:r>
              <w:rPr>
                <w:rFonts w:ascii="Times New Roman" w:hAnsi="Times New Roman"/>
                <w:sz w:val="20"/>
              </w:rPr>
              <w:t>Ensemble</w:t>
            </w:r>
          </w:p>
        </w:tc>
        <w:tc>
          <w:tcPr>
            <w:tcW w:type="dxa" w:w="3135"/>
            <w:vAlign w:val="center"/>
          </w:tcPr>
          <w:p>
            <w:r>
              <w:rPr>
                <w:rFonts w:ascii="Times New Roman" w:hAnsi="Times New Roman"/>
                <w:sz w:val="20"/>
              </w:rPr>
              <w:t>Seed 42 locked weight</w:t>
            </w:r>
          </w:p>
        </w:tc>
        <w:tc>
          <w:tcPr>
            <w:tcW w:type="dxa" w:w="3135"/>
            <w:vAlign w:val="center"/>
          </w:tcPr>
          <w:p>
            <w:r>
              <w:rPr>
                <w:rFonts w:ascii="Times New Roman" w:hAnsi="Times New Roman"/>
                <w:sz w:val="20"/>
              </w:rPr>
              <w:t>0.10 XGBoost : 0.90 LightGBM</w:t>
            </w:r>
          </w:p>
        </w:tc>
      </w:tr>
      <w:tr>
        <w:tc>
          <w:tcPr>
            <w:tcW w:type="dxa" w:w="3135"/>
            <w:vAlign w:val="center"/>
          </w:tcPr>
          <w:p>
            <w:r>
              <w:rPr>
                <w:rFonts w:ascii="Times New Roman" w:hAnsi="Times New Roman"/>
                <w:sz w:val="20"/>
              </w:rPr>
              <w:t>Attendance decay</w:t>
            </w:r>
          </w:p>
        </w:tc>
        <w:tc>
          <w:tcPr>
            <w:tcW w:type="dxa" w:w="3135"/>
            <w:vAlign w:val="center"/>
          </w:tcPr>
          <w:p>
            <w:r>
              <w:rPr>
                <w:rFonts w:ascii="Times New Roman" w:hAnsi="Times New Roman"/>
                <w:sz w:val="20"/>
              </w:rPr>
              <w:t>λ</w:t>
            </w:r>
          </w:p>
        </w:tc>
        <w:tc>
          <w:tcPr>
            <w:tcW w:type="dxa" w:w="3135"/>
            <w:vAlign w:val="center"/>
          </w:tcPr>
          <w:p>
            <w:r>
              <w:rPr>
                <w:rFonts w:ascii="Times New Roman" w:hAnsi="Times New Roman"/>
                <w:sz w:val="20"/>
              </w:rPr>
              <w:t>0.5</w:t>
            </w:r>
          </w:p>
        </w:tc>
      </w:tr>
    </w:tbl>
    <w:p/>
    <w:p>
      <w:pPr>
        <w:jc w:val="center"/>
      </w:pPr>
      <w:r>
        <w:rPr>
          <w:rFonts w:ascii="Times New Roman" w:hAnsi="Times New Roman"/>
          <w:b/>
          <w:sz w:val="20"/>
        </w:rPr>
        <w:t>Table 3.2. Key executed modelling and feature-engineering settings.</w:t>
      </w:r>
    </w:p>
    <w:p>
      <w:r>
        <w:t>3.10 Experimental Design and Reproducibility Controls</w:t>
      </w:r>
    </w:p>
    <w:p>
      <w:r>
        <w:t>The final supervised dataset was partitioned at the student level. The 541 eligible observations were allocated to training (318 observations), validation (113 observations) and test (110 observations). These observations represented 340 unique students overall and 68 unique students in the final test set. No student identifier occurred in more than one partition.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rFonts w:ascii="Times New Roman" w:hAnsi="Times New Roman"/>
                <w:b/>
                <w:sz w:val="20"/>
              </w:rPr>
              <w:t>Experiment component</w:t>
            </w:r>
          </w:p>
        </w:tc>
        <w:tc>
          <w:tcPr>
            <w:tcW w:type="dxa" w:w="1881"/>
            <w:vAlign w:val="center"/>
          </w:tcPr>
          <w:p>
            <w:r>
              <w:rPr>
                <w:rFonts w:ascii="Times New Roman" w:hAnsi="Times New Roman"/>
                <w:b/>
                <w:sz w:val="20"/>
              </w:rPr>
              <w:t>Training</w:t>
            </w:r>
          </w:p>
        </w:tc>
        <w:tc>
          <w:tcPr>
            <w:tcW w:type="dxa" w:w="1881"/>
            <w:vAlign w:val="center"/>
          </w:tcPr>
          <w:p>
            <w:r>
              <w:rPr>
                <w:rFonts w:ascii="Times New Roman" w:hAnsi="Times New Roman"/>
                <w:b/>
                <w:sz w:val="20"/>
              </w:rPr>
              <w:t>Validation</w:t>
            </w:r>
          </w:p>
        </w:tc>
        <w:tc>
          <w:tcPr>
            <w:tcW w:type="dxa" w:w="1881"/>
            <w:vAlign w:val="center"/>
          </w:tcPr>
          <w:p>
            <w:r>
              <w:rPr>
                <w:rFonts w:ascii="Times New Roman" w:hAnsi="Times New Roman"/>
                <w:b/>
                <w:sz w:val="20"/>
              </w:rPr>
              <w:t>Testing</w:t>
            </w:r>
          </w:p>
        </w:tc>
        <w:tc>
          <w:tcPr>
            <w:tcW w:type="dxa" w:w="1881"/>
            <w:vAlign w:val="center"/>
          </w:tcPr>
          <w:p>
            <w:r>
              <w:rPr>
                <w:rFonts w:ascii="Times New Roman" w:hAnsi="Times New Roman"/>
                <w:b/>
                <w:sz w:val="20"/>
              </w:rPr>
              <w:t>Control</w:t>
            </w:r>
          </w:p>
        </w:tc>
      </w:tr>
      <w:tr>
        <w:tc>
          <w:tcPr>
            <w:tcW w:type="dxa" w:w="1881"/>
            <w:vAlign w:val="center"/>
          </w:tcPr>
          <w:p>
            <w:r>
              <w:rPr>
                <w:rFonts w:ascii="Times New Roman" w:hAnsi="Times New Roman"/>
                <w:sz w:val="20"/>
              </w:rPr>
              <w:t>Final early-warning experiment</w:t>
            </w:r>
          </w:p>
        </w:tc>
        <w:tc>
          <w:tcPr>
            <w:tcW w:type="dxa" w:w="1881"/>
            <w:vAlign w:val="center"/>
          </w:tcPr>
          <w:p>
            <w:r>
              <w:rPr>
                <w:rFonts w:ascii="Times New Roman" w:hAnsi="Times New Roman"/>
                <w:sz w:val="20"/>
              </w:rPr>
              <w:t>318</w:t>
            </w:r>
          </w:p>
        </w:tc>
        <w:tc>
          <w:tcPr>
            <w:tcW w:type="dxa" w:w="1881"/>
            <w:vAlign w:val="center"/>
          </w:tcPr>
          <w:p>
            <w:r>
              <w:rPr>
                <w:rFonts w:ascii="Times New Roman" w:hAnsi="Times New Roman"/>
                <w:sz w:val="20"/>
              </w:rPr>
              <w:t>113</w:t>
            </w:r>
          </w:p>
        </w:tc>
        <w:tc>
          <w:tcPr>
            <w:tcW w:type="dxa" w:w="1881"/>
            <w:vAlign w:val="center"/>
          </w:tcPr>
          <w:p>
            <w:r>
              <w:rPr>
                <w:rFonts w:ascii="Times New Roman" w:hAnsi="Times New Roman"/>
                <w:sz w:val="20"/>
              </w:rPr>
              <w:t>110</w:t>
            </w:r>
          </w:p>
        </w:tc>
        <w:tc>
          <w:tcPr>
            <w:tcW w:type="dxa" w:w="1881"/>
            <w:vAlign w:val="center"/>
          </w:tcPr>
          <w:p>
            <w:r>
              <w:rPr>
                <w:rFonts w:ascii="Times New Roman" w:hAnsi="Times New Roman"/>
                <w:sz w:val="20"/>
              </w:rPr>
              <w:t>Student-level grouping; no overlap</w:t>
            </w:r>
          </w:p>
        </w:tc>
      </w:tr>
      <w:tr>
        <w:tc>
          <w:tcPr>
            <w:tcW w:type="dxa" w:w="1881"/>
            <w:vAlign w:val="center"/>
          </w:tcPr>
          <w:p>
            <w:r>
              <w:rPr>
                <w:rFonts w:ascii="Times New Roman" w:hAnsi="Times New Roman"/>
                <w:sz w:val="20"/>
              </w:rPr>
              <w:t>Seeds</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Ten repeated seeded executions</w:t>
            </w:r>
          </w:p>
        </w:tc>
      </w:tr>
      <w:tr>
        <w:tc>
          <w:tcPr>
            <w:tcW w:type="dxa" w:w="1881"/>
            <w:vAlign w:val="center"/>
          </w:tcPr>
          <w:p>
            <w:r>
              <w:rPr>
                <w:rFonts w:ascii="Times New Roman" w:hAnsi="Times New Roman"/>
                <w:sz w:val="20"/>
              </w:rPr>
              <w:t>Ensemble selection</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Weight grid</w:t>
            </w:r>
          </w:p>
        </w:tc>
        <w:tc>
          <w:tcPr>
            <w:tcW w:type="dxa" w:w="1881"/>
            <w:vAlign w:val="center"/>
          </w:tcPr>
          <w:p>
            <w:r>
              <w:rPr>
                <w:rFonts w:ascii="Times New Roman" w:hAnsi="Times New Roman"/>
                <w:sz w:val="20"/>
              </w:rPr>
              <w:t>Frozen configuration</w:t>
            </w:r>
          </w:p>
        </w:tc>
        <w:tc>
          <w:tcPr>
            <w:tcW w:type="dxa" w:w="1881"/>
            <w:vAlign w:val="center"/>
          </w:tcPr>
          <w:p>
            <w:r>
              <w:rPr>
                <w:rFonts w:ascii="Times New Roman" w:hAnsi="Times New Roman"/>
                <w:sz w:val="20"/>
              </w:rPr>
              <w:t>Selection on validation only</w:t>
            </w:r>
          </w:p>
        </w:tc>
      </w:tr>
      <w:tr>
        <w:tc>
          <w:tcPr>
            <w:tcW w:type="dxa" w:w="1881"/>
            <w:vAlign w:val="center"/>
          </w:tcPr>
          <w:p>
            <w:r>
              <w:rPr>
                <w:rFonts w:ascii="Times New Roman" w:hAnsi="Times New Roman"/>
                <w:sz w:val="20"/>
              </w:rPr>
              <w:t>Primary threshold</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Fixed before test evaluation</w:t>
            </w:r>
          </w:p>
        </w:tc>
      </w:tr>
      <w:tr>
        <w:tc>
          <w:tcPr>
            <w:tcW w:type="dxa" w:w="1881"/>
            <w:vAlign w:val="center"/>
          </w:tcPr>
          <w:p>
            <w:r>
              <w:rPr>
                <w:rFonts w:ascii="Times New Roman" w:hAnsi="Times New Roman"/>
                <w:sz w:val="20"/>
              </w:rPr>
              <w:t>Naive comparator</w:t>
            </w:r>
          </w:p>
        </w:tc>
        <w:tc>
          <w:tcPr>
            <w:tcW w:type="dxa" w:w="1881"/>
            <w:vAlign w:val="center"/>
          </w:tcPr>
          <w:p>
            <w:r>
              <w:rPr>
                <w:rFonts w:ascii="Times New Roman" w:hAnsi="Times New Roman"/>
                <w:sz w:val="20"/>
              </w:rPr>
              <w:t>Training prevalence</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Held-out test</w:t>
            </w:r>
          </w:p>
        </w:tc>
        <w:tc>
          <w:tcPr>
            <w:tcW w:type="dxa" w:w="1881"/>
            <w:vAlign w:val="center"/>
          </w:tcPr>
          <w:p>
            <w:r>
              <w:rPr>
                <w:rFonts w:ascii="Times New Roman" w:hAnsi="Times New Roman"/>
                <w:sz w:val="20"/>
              </w:rPr>
              <w:t>No model fitting</w:t>
            </w:r>
          </w:p>
        </w:tc>
      </w:tr>
      <w:tr>
        <w:tc>
          <w:tcPr>
            <w:tcW w:type="dxa" w:w="1881"/>
            <w:vAlign w:val="center"/>
          </w:tcPr>
          <w:p>
            <w:r>
              <w:rPr>
                <w:rFonts w:ascii="Times New Roman" w:hAnsi="Times New Roman"/>
                <w:sz w:val="20"/>
              </w:rPr>
              <w:t>Ablation</w:t>
            </w:r>
          </w:p>
        </w:tc>
        <w:tc>
          <w:tcPr>
            <w:tcW w:type="dxa" w:w="1881"/>
            <w:vAlign w:val="center"/>
          </w:tcPr>
          <w:p>
            <w:r>
              <w:rPr>
                <w:rFonts w:ascii="Times New Roman" w:hAnsi="Times New Roman"/>
                <w:sz w:val="20"/>
              </w:rPr>
              <w:t>Same training data</w:t>
            </w:r>
          </w:p>
        </w:tc>
        <w:tc>
          <w:tcPr>
            <w:tcW w:type="dxa" w:w="1881"/>
            <w:vAlign w:val="center"/>
          </w:tcPr>
          <w:p>
            <w:r>
              <w:rPr>
                <w:rFonts w:ascii="Times New Roman" w:hAnsi="Times New Roman"/>
                <w:sz w:val="20"/>
              </w:rPr>
              <w:t>Same validation protocol</w:t>
            </w:r>
          </w:p>
        </w:tc>
        <w:tc>
          <w:tcPr>
            <w:tcW w:type="dxa" w:w="1881"/>
            <w:vAlign w:val="center"/>
          </w:tcPr>
          <w:p>
            <w:r>
              <w:rPr>
                <w:rFonts w:ascii="Times New Roman" w:hAnsi="Times New Roman"/>
                <w:sz w:val="20"/>
              </w:rPr>
              <w:t>Same held-out test</w:t>
            </w:r>
          </w:p>
        </w:tc>
        <w:tc>
          <w:tcPr>
            <w:tcW w:type="dxa" w:w="1881"/>
            <w:vAlign w:val="center"/>
          </w:tcPr>
          <w:p>
            <w:r>
              <w:rPr>
                <w:rFonts w:ascii="Times New Roman" w:hAnsi="Times New Roman"/>
                <w:sz w:val="20"/>
              </w:rPr>
              <w:t>Three predefined cells</w:t>
            </w:r>
          </w:p>
        </w:tc>
      </w:tr>
    </w:tbl>
    <w:p/>
    <w:p>
      <w:pPr>
        <w:jc w:val="center"/>
      </w:pPr>
      <w:r>
        <w:rPr>
          <w:rFonts w:ascii="Times New Roman" w:hAnsi="Times New Roman"/>
          <w:b/>
          <w:sz w:val="20"/>
        </w:rPr>
        <w:t>Table 3.3. Final train-validation-test partition and reproducibility controls.</w:t>
      </w:r>
    </w:p>
    <w:p>
      <w:r>
        <w:t>For each seed, XGBoost and LightGBM were fitted on the training partition, ensemble weights were selected using validation Macro-F1 with AUC-PR and Brier score as tie-break criteria, the selected configuration was frozen, and the held-out test partition was evaluated. The test set was not used to choose the ensemble weight.</w:t>
      </w:r>
    </w:p>
    <w:p>
      <w:r>
        <w:t>Ten repeated seeded executions, using seeds 42 through 51, were used for stability analysis. Mean ± standard deviation were reported for repeated performance and probability-sensitive measures. The hard classification metrics were identical across the ten seeded executions for the final test set, while probability-sensitive metrics such as ROC-AUC, PR-AUC and Brier score varied slightly.</w:t>
      </w:r>
    </w:p>
    <w:p>
      <w:r>
        <w:t>The repository was organised as sequential scripts and saved result artefacts. For reproducibility, repository documentation is required to use repository-relative paths, identify the canonical data-preparation script, document the execution order, and avoid machine-specific paths.</w:t>
      </w:r>
    </w:p>
    <w:p>
      <w:r>
        <w:t>3.11 Evaluation Metrics</w:t>
      </w:r>
    </w:p>
    <w:p>
      <w:r>
        <w:t>The primary task was binary early-warning classification of the observed Term 3 academic outcome. Performance was evaluated using accuracy, precision, recall/True Positive Rate (TPR), Macro-F1, ROC-AUC, PR-AUC and Brier score. Confusion-matrix components were retained for error and subgroup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Metric</w:t>
            </w:r>
          </w:p>
        </w:tc>
        <w:tc>
          <w:tcPr>
            <w:tcW w:type="dxa" w:w="3135"/>
            <w:vAlign w:val="center"/>
          </w:tcPr>
          <w:p>
            <w:r>
              <w:rPr>
                <w:rFonts w:ascii="Times New Roman" w:hAnsi="Times New Roman"/>
                <w:b/>
                <w:sz w:val="20"/>
              </w:rPr>
              <w:t>Definition</w:t>
            </w:r>
          </w:p>
        </w:tc>
        <w:tc>
          <w:tcPr>
            <w:tcW w:type="dxa" w:w="3135"/>
            <w:vAlign w:val="center"/>
          </w:tcPr>
          <w:p>
            <w:r>
              <w:rPr>
                <w:rFonts w:ascii="Times New Roman" w:hAnsi="Times New Roman"/>
                <w:b/>
                <w:sz w:val="20"/>
              </w:rPr>
              <w:t>Preferred direction / use</w:t>
            </w:r>
          </w:p>
        </w:tc>
      </w:tr>
      <w:tr>
        <w:tc>
          <w:tcPr>
            <w:tcW w:type="dxa" w:w="3135"/>
            <w:vAlign w:val="center"/>
          </w:tcPr>
          <w:p>
            <w:r>
              <w:rPr>
                <w:rFonts w:ascii="Times New Roman" w:hAnsi="Times New Roman"/>
                <w:sz w:val="20"/>
              </w:rPr>
              <w:t>Accuracy</w:t>
            </w:r>
          </w:p>
        </w:tc>
        <w:tc>
          <w:tcPr>
            <w:tcW w:type="dxa" w:w="3135"/>
            <w:vAlign w:val="center"/>
          </w:tcPr>
          <w:p>
            <w:r>
              <w:rPr>
                <w:rFonts w:ascii="Times New Roman" w:hAnsi="Times New Roman"/>
                <w:sz w:val="20"/>
              </w:rPr>
              <w:t>Correct classifications divided by all classifications</w:t>
            </w:r>
          </w:p>
        </w:tc>
        <w:tc>
          <w:tcPr>
            <w:tcW w:type="dxa" w:w="3135"/>
            <w:vAlign w:val="center"/>
          </w:tcPr>
          <w:p>
            <w:r>
              <w:rPr>
                <w:rFonts w:ascii="Times New Roman" w:hAnsi="Times New Roman"/>
                <w:sz w:val="20"/>
              </w:rPr>
              <w:t>Higher is better; interpreted with class distribution</w:t>
            </w:r>
          </w:p>
        </w:tc>
      </w:tr>
      <w:tr>
        <w:tc>
          <w:tcPr>
            <w:tcW w:type="dxa" w:w="3135"/>
            <w:vAlign w:val="center"/>
          </w:tcPr>
          <w:p>
            <w:r>
              <w:rPr>
                <w:rFonts w:ascii="Times New Roman" w:hAnsi="Times New Roman"/>
                <w:sz w:val="20"/>
              </w:rPr>
              <w:t>Precision</w:t>
            </w:r>
          </w:p>
        </w:tc>
        <w:tc>
          <w:tcPr>
            <w:tcW w:type="dxa" w:w="3135"/>
            <w:vAlign w:val="center"/>
          </w:tcPr>
          <w:p>
            <w:r>
              <w:rPr>
                <w:rFonts w:ascii="Times New Roman" w:hAnsi="Times New Roman"/>
                <w:sz w:val="20"/>
              </w:rPr>
              <w:t>Correct At Risk predictions among all predicted At Risk cases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Recall / TPR</w:t>
            </w:r>
          </w:p>
        </w:tc>
        <w:tc>
          <w:tcPr>
            <w:tcW w:type="dxa" w:w="3135"/>
            <w:vAlign w:val="center"/>
          </w:tcPr>
          <w:p>
            <w:r>
              <w:rPr>
                <w:rFonts w:ascii="Times New Roman" w:hAnsi="Times New Roman"/>
                <w:sz w:val="20"/>
              </w:rPr>
              <w:t>Actual At Risk cases correctly identified</w:t>
            </w:r>
          </w:p>
        </w:tc>
        <w:tc>
          <w:tcPr>
            <w:tcW w:type="dxa" w:w="3135"/>
            <w:vAlign w:val="center"/>
          </w:tcPr>
          <w:p>
            <w:r>
              <w:rPr>
                <w:rFonts w:ascii="Times New Roman" w:hAnsi="Times New Roman"/>
                <w:sz w:val="20"/>
              </w:rPr>
              <w:t>Higher is better; central to early warning</w:t>
            </w:r>
          </w:p>
        </w:tc>
      </w:tr>
      <w:tr>
        <w:tc>
          <w:tcPr>
            <w:tcW w:type="dxa" w:w="3135"/>
            <w:vAlign w:val="center"/>
          </w:tcPr>
          <w:p>
            <w:r>
              <w:rPr>
                <w:rFonts w:ascii="Times New Roman" w:hAnsi="Times New Roman"/>
                <w:sz w:val="20"/>
              </w:rPr>
              <w:t>Macro-F1</w:t>
            </w:r>
          </w:p>
        </w:tc>
        <w:tc>
          <w:tcPr>
            <w:tcW w:type="dxa" w:w="3135"/>
            <w:vAlign w:val="center"/>
          </w:tcPr>
          <w:p>
            <w:r>
              <w:rPr>
                <w:rFonts w:ascii="Times New Roman" w:hAnsi="Times New Roman"/>
                <w:sz w:val="20"/>
              </w:rPr>
              <w:t>Mean F1 across At Risk and Not At Risk classes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ROC-AUC</w:t>
            </w:r>
          </w:p>
        </w:tc>
        <w:tc>
          <w:tcPr>
            <w:tcW w:type="dxa" w:w="3135"/>
            <w:vAlign w:val="center"/>
          </w:tcPr>
          <w:p>
            <w:r>
              <w:rPr>
                <w:rFonts w:ascii="Times New Roman" w:hAnsi="Times New Roman"/>
                <w:sz w:val="20"/>
              </w:rPr>
              <w:t>Area under the receiver operating characteristic curve</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PR-AUC</w:t>
            </w:r>
          </w:p>
        </w:tc>
        <w:tc>
          <w:tcPr>
            <w:tcW w:type="dxa" w:w="3135"/>
            <w:vAlign w:val="center"/>
          </w:tcPr>
          <w:p>
            <w:r>
              <w:rPr>
                <w:rFonts w:ascii="Times New Roman" w:hAnsi="Times New Roman"/>
                <w:sz w:val="20"/>
              </w:rPr>
              <w:t>Area under the precision-recall curve</w:t>
            </w:r>
          </w:p>
        </w:tc>
        <w:tc>
          <w:tcPr>
            <w:tcW w:type="dxa" w:w="3135"/>
            <w:vAlign w:val="center"/>
          </w:tcPr>
          <w:p>
            <w:r>
              <w:rPr>
                <w:rFonts w:ascii="Times New Roman" w:hAnsi="Times New Roman"/>
                <w:sz w:val="20"/>
              </w:rPr>
              <w:t>Higher is better; informative for minority class</w:t>
            </w:r>
          </w:p>
        </w:tc>
      </w:tr>
      <w:tr>
        <w:tc>
          <w:tcPr>
            <w:tcW w:type="dxa" w:w="3135"/>
            <w:vAlign w:val="center"/>
          </w:tcPr>
          <w:p>
            <w:r>
              <w:rPr>
                <w:rFonts w:ascii="Times New Roman" w:hAnsi="Times New Roman"/>
                <w:sz w:val="20"/>
              </w:rPr>
              <w:t>Brier score</w:t>
            </w:r>
          </w:p>
        </w:tc>
        <w:tc>
          <w:tcPr>
            <w:tcW w:type="dxa" w:w="3135"/>
            <w:vAlign w:val="center"/>
          </w:tcPr>
          <w:p>
            <w:r>
              <w:rPr>
                <w:rFonts w:ascii="Times New Roman" w:hAnsi="Times New Roman"/>
                <w:sz w:val="20"/>
              </w:rPr>
              <w:t>Mean squared error of probabilistic predictions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FPR</w:t>
            </w:r>
          </w:p>
        </w:tc>
        <w:tc>
          <w:tcPr>
            <w:tcW w:type="dxa" w:w="3135"/>
            <w:vAlign w:val="center"/>
          </w:tcPr>
          <w:p>
            <w:r>
              <w:rPr>
                <w:rFonts w:ascii="Times New Roman" w:hAnsi="Times New Roman"/>
                <w:sz w:val="20"/>
              </w:rPr>
              <w:t>False positives among actual Not At Risk cases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FNR</w:t>
            </w:r>
          </w:p>
        </w:tc>
        <w:tc>
          <w:tcPr>
            <w:tcW w:type="dxa" w:w="3135"/>
            <w:vAlign w:val="center"/>
          </w:tcPr>
          <w:p>
            <w:r>
              <w:rPr>
                <w:rFonts w:ascii="Times New Roman" w:hAnsi="Times New Roman"/>
                <w:sz w:val="20"/>
              </w:rPr>
              <w:t>False negatives among actual At Risk cases</w:t>
            </w:r>
          </w:p>
        </w:tc>
        <w:tc>
          <w:tcPr>
            <w:tcW w:type="dxa" w:w="3135"/>
            <w:vAlign w:val="center"/>
          </w:tcPr>
          <w:p>
            <w:r>
              <w:rPr>
                <w:rFonts w:ascii="Times New Roman" w:hAnsi="Times New Roman"/>
                <w:sz w:val="20"/>
              </w:rPr>
              <w:t>Lower is better; operationally important</w:t>
            </w:r>
          </w:p>
        </w:tc>
      </w:tr>
    </w:tbl>
    <w:p/>
    <w:p>
      <w:pPr>
        <w:jc w:val="center"/>
      </w:pPr>
      <w:r>
        <w:rPr>
          <w:rFonts w:ascii="Times New Roman" w:hAnsi="Times New Roman"/>
          <w:b/>
          <w:sz w:val="20"/>
        </w:rPr>
        <w:t>Table 3.4. Definitions of classification evaluation metrics.</w:t>
      </w:r>
    </w:p>
    <w:p>
      <w:r>
        <w:t>3.12 Statistical Analysis</w:t>
      </w:r>
    </w:p>
    <w:p>
      <w:r>
        <w:t>Statistical analysis comprised descriptive summaries, repeated-seed performance summaries, subgroup disparity calculations, threshold sensitivity assessment and ablation comparisons. The final experiment did not generate a formal inferential significance test such as a Wilcoxon signed-rank test, paired permutation test or parametric hypothesis test. Accordingly, no p-value or statistical-significance claim was assigned to the observed model differences.</w:t>
      </w:r>
    </w:p>
    <w:p>
      <w:r>
        <w:t>For the ten-seed experiment, the mean and standard deviation of each performance metric were calculated across seeds. Fairness analysis calculated subgroup performance separately for gender and class level, followed by descriptive gaps between subgroup values. The adopted disparity threshold for interpretation was 0.05; the threshold was treated as an analytical reporting convention rather than as proof that a gap above 0.05 constituted discriminatory bias.</w:t>
      </w:r>
    </w:p>
    <w:p>
      <w:r>
        <w:t>The final test set contained no eligible JHS3 observations with an observed Term 3 academic outcome because all JHS3 Term 3 academic targets in the source periods were missing under the examination/completion structure. Consequently, JHS3 could not contribute an estimable positive-class fairness result in the final Term 3 prediction experiment and was not assigned a zero performance value.</w:t>
      </w:r>
    </w:p>
    <w:p>
      <w:r>
        <w:t>3.13 Ablation Study</w:t>
      </w:r>
    </w:p>
    <w:p>
      <w:r>
        <w:t>A controlled three-cell ablation was executed using the same data partitions and the same ten-seed framework. Cell A represented the standard 50:50 XGBoost–LightGBM ensemble without attendance_decay. Cell B represented a 50:50 ensemble with attendance_decay. Cell C represented the primary validation-selected ensemble with attendance_decay.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Times New Roman" w:hAnsi="Times New Roman"/>
                <w:b/>
                <w:sz w:val="20"/>
              </w:rPr>
              <w:t>Ablation cell</w:t>
            </w:r>
          </w:p>
        </w:tc>
        <w:tc>
          <w:tcPr>
            <w:tcW w:type="dxa" w:w="2351"/>
            <w:vAlign w:val="center"/>
          </w:tcPr>
          <w:p>
            <w:r>
              <w:rPr>
                <w:rFonts w:ascii="Times New Roman" w:hAnsi="Times New Roman"/>
                <w:b/>
                <w:sz w:val="20"/>
              </w:rPr>
              <w:t>Attendance decay</w:t>
            </w:r>
          </w:p>
        </w:tc>
        <w:tc>
          <w:tcPr>
            <w:tcW w:type="dxa" w:w="2351"/>
            <w:vAlign w:val="center"/>
          </w:tcPr>
          <w:p>
            <w:r>
              <w:rPr>
                <w:rFonts w:ascii="Times New Roman" w:hAnsi="Times New Roman"/>
                <w:b/>
                <w:sz w:val="20"/>
              </w:rPr>
              <w:t>Ensemble weighting</w:t>
            </w:r>
          </w:p>
        </w:tc>
        <w:tc>
          <w:tcPr>
            <w:tcW w:type="dxa" w:w="2351"/>
            <w:vAlign w:val="center"/>
          </w:tcPr>
          <w:p>
            <w:r>
              <w:rPr>
                <w:rFonts w:ascii="Times New Roman" w:hAnsi="Times New Roman"/>
                <w:b/>
                <w:sz w:val="20"/>
              </w:rPr>
              <w:t>Purpose</w:t>
            </w:r>
          </w:p>
        </w:tc>
      </w:tr>
      <w:tr>
        <w:tc>
          <w:tcPr>
            <w:tcW w:type="dxa" w:w="2351"/>
            <w:vAlign w:val="center"/>
          </w:tcPr>
          <w:p>
            <w:r>
              <w:rPr>
                <w:rFonts w:ascii="Times New Roman" w:hAnsi="Times New Roman"/>
                <w:sz w:val="20"/>
              </w:rPr>
              <w:t>A</w:t>
            </w:r>
          </w:p>
        </w:tc>
        <w:tc>
          <w:tcPr>
            <w:tcW w:type="dxa" w:w="2351"/>
            <w:vAlign w:val="center"/>
          </w:tcPr>
          <w:p>
            <w:r>
              <w:rPr>
                <w:rFonts w:ascii="Times New Roman" w:hAnsi="Times New Roman"/>
                <w:sz w:val="20"/>
              </w:rPr>
              <w:t>Absent</w:t>
            </w:r>
          </w:p>
        </w:tc>
        <w:tc>
          <w:tcPr>
            <w:tcW w:type="dxa" w:w="2351"/>
            <w:vAlign w:val="center"/>
          </w:tcPr>
          <w:p>
            <w:r>
              <w:rPr>
                <w:rFonts w:ascii="Times New Roman" w:hAnsi="Times New Roman"/>
                <w:sz w:val="20"/>
              </w:rPr>
              <w:t>50:50</w:t>
            </w:r>
          </w:p>
        </w:tc>
        <w:tc>
          <w:tcPr>
            <w:tcW w:type="dxa" w:w="2351"/>
            <w:vAlign w:val="center"/>
          </w:tcPr>
          <w:p>
            <w:r>
              <w:rPr>
                <w:rFonts w:ascii="Times New Roman" w:hAnsi="Times New Roman"/>
                <w:sz w:val="20"/>
              </w:rPr>
              <w:t>Reference condition without engineered feature</w:t>
            </w:r>
          </w:p>
        </w:tc>
      </w:tr>
      <w:tr>
        <w:tc>
          <w:tcPr>
            <w:tcW w:type="dxa" w:w="2351"/>
            <w:vAlign w:val="center"/>
          </w:tcPr>
          <w:p>
            <w:r>
              <w:rPr>
                <w:rFonts w:ascii="Times New Roman" w:hAnsi="Times New Roman"/>
                <w:sz w:val="20"/>
              </w:rPr>
              <w:t>B</w:t>
            </w:r>
          </w:p>
        </w:tc>
        <w:tc>
          <w:tcPr>
            <w:tcW w:type="dxa" w:w="2351"/>
            <w:vAlign w:val="center"/>
          </w:tcPr>
          <w:p>
            <w:r>
              <w:rPr>
                <w:rFonts w:ascii="Times New Roman" w:hAnsi="Times New Roman"/>
                <w:sz w:val="20"/>
              </w:rPr>
              <w:t>Present</w:t>
            </w:r>
          </w:p>
        </w:tc>
        <w:tc>
          <w:tcPr>
            <w:tcW w:type="dxa" w:w="2351"/>
            <w:vAlign w:val="center"/>
          </w:tcPr>
          <w:p>
            <w:r>
              <w:rPr>
                <w:rFonts w:ascii="Times New Roman" w:hAnsi="Times New Roman"/>
                <w:sz w:val="20"/>
              </w:rPr>
              <w:t>50:50</w:t>
            </w:r>
          </w:p>
        </w:tc>
        <w:tc>
          <w:tcPr>
            <w:tcW w:type="dxa" w:w="2351"/>
            <w:vAlign w:val="center"/>
          </w:tcPr>
          <w:p>
            <w:r>
              <w:rPr>
                <w:rFonts w:ascii="Times New Roman" w:hAnsi="Times New Roman"/>
                <w:sz w:val="20"/>
              </w:rPr>
              <w:t>Isolate the effect of attendance_decay under fixed weighting</w:t>
            </w:r>
          </w:p>
        </w:tc>
      </w:tr>
      <w:tr>
        <w:tc>
          <w:tcPr>
            <w:tcW w:type="dxa" w:w="2351"/>
            <w:vAlign w:val="center"/>
          </w:tcPr>
          <w:p>
            <w:r>
              <w:rPr>
                <w:rFonts w:ascii="Times New Roman" w:hAnsi="Times New Roman"/>
                <w:sz w:val="20"/>
              </w:rPr>
              <w:t>C</w:t>
            </w:r>
          </w:p>
        </w:tc>
        <w:tc>
          <w:tcPr>
            <w:tcW w:type="dxa" w:w="2351"/>
            <w:vAlign w:val="center"/>
          </w:tcPr>
          <w:p>
            <w:r>
              <w:rPr>
                <w:rFonts w:ascii="Times New Roman" w:hAnsi="Times New Roman"/>
                <w:sz w:val="20"/>
              </w:rPr>
              <w:t>Present</w:t>
            </w:r>
          </w:p>
        </w:tc>
        <w:tc>
          <w:tcPr>
            <w:tcW w:type="dxa" w:w="2351"/>
            <w:vAlign w:val="center"/>
          </w:tcPr>
          <w:p>
            <w:r>
              <w:rPr>
                <w:rFonts w:ascii="Times New Roman" w:hAnsi="Times New Roman"/>
                <w:sz w:val="20"/>
              </w:rPr>
              <w:t>Validation-selected</w:t>
            </w:r>
          </w:p>
        </w:tc>
        <w:tc>
          <w:tcPr>
            <w:tcW w:type="dxa" w:w="2351"/>
            <w:vAlign w:val="center"/>
          </w:tcPr>
          <w:p>
            <w:r>
              <w:rPr>
                <w:rFonts w:ascii="Times New Roman" w:hAnsi="Times New Roman"/>
                <w:sz w:val="20"/>
              </w:rPr>
              <w:t>Primary model configuration</w:t>
            </w:r>
          </w:p>
        </w:tc>
      </w:tr>
    </w:tbl>
    <w:p/>
    <w:p>
      <w:pPr>
        <w:jc w:val="center"/>
      </w:pPr>
      <w:r>
        <w:rPr>
          <w:rFonts w:ascii="Times New Roman" w:hAnsi="Times New Roman"/>
          <w:b/>
          <w:sz w:val="20"/>
        </w:rPr>
        <w:t>Table 3.5. Three-cell ablation design for the temporal attendance-decay contribution.</w:t>
      </w:r>
    </w:p>
    <w:p>
      <w:r>
        <w:t>The ablation was compute-matched in the sense that the same seeds, partitions and base-model configurations were used across cells. The ablation was designed to test whether the fabricated temporal representation improved predictive performance rather than assuming that an engineered feature must produce a gain.</w:t>
      </w:r>
    </w:p>
    <w:p>
      <w:r>
        <w:t>3.14 Reproducibility and Open Science Artifacts</w:t>
      </w:r>
    </w:p>
    <w:p>
      <w:r>
        <w:t>The analysis scripts were version-controlled using Git and maintained in the project repository. The repository contains the principal data-quality, term-level dataset construction, student-level splitting, feature preparation, model training, validation-based ensemble selection, ten-seed stability, naive-comparator, ablation, fairness, SHAP and results-generation workflows.</w:t>
      </w:r>
    </w:p>
    <w:p>
      <w:r>
        <w:t>The GitHub repository is:</w:t>
      </w:r>
    </w:p>
    <w:p>
      <w:pPr>
        <w:jc w:val="center"/>
      </w:pPr>
      <w:r>
        <w:rPr>
          <w:b/>
        </w:rPr>
        <w:t>https://github.com/generalh018-a11y/Ghana_JHS_Academic_Performance</w:t>
      </w:r>
    </w:p>
    <w:p>
      <w:r>
        <w:t>The raw institutional spreadsheet and processed student-level datasets were excluded from public version control. This separation was maintained to protect student privacy and comply with the study's ethical/data-governance requirements. Non-sensitive code and reproducibility artefacts were retained.</w:t>
      </w:r>
    </w:p>
    <w:p>
      <w:r>
        <w:t>The executed SHAP analysis used the model-agnostic PermutationExplainer on the locked ensemble because the installed SHAP and XGBoost versions produced a compatibility problem with the tree-specific explainer. SHAP was therefore applied post hoc to held-out observations without using SHAP outputs for model selection.</w:t>
      </w:r>
    </w:p>
    <w:p>
      <w:r>
        <w:t>For reproducibility, the repository documentation is required to use repository-relative paths, identify the canonical data-preparation script, document the execution order, and avoid machine-specific paths. Raw student records are not part of the public reproducibility artefacts.</w:t>
      </w:r>
    </w:p>
    <w:p>
      <w:r>
        <w:t>Objective-to-Method-to-Evidence Traceability Matrix</w:t>
      </w:r>
    </w:p>
    <w:p>
      <w:r>
        <w:t>3.15 Required Figures and Tables Checklist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
              <w:rPr>
                <w:rFonts w:ascii="Times New Roman" w:hAnsi="Times New Roman"/>
                <w:b/>
                <w:sz w:val="18"/>
              </w:rPr>
              <w:t>Objective</w:t>
            </w:r>
          </w:p>
        </w:tc>
        <w:tc>
          <w:tcPr>
            <w:tcW w:type="dxa" w:w="1881"/>
            <w:vAlign w:val="center"/>
            <w:shd w:fill="D9EAF7"/>
          </w:tcPr>
          <w:p>
            <w:r/>
            <w:r>
              <w:rPr>
                <w:rFonts w:ascii="Times New Roman" w:hAnsi="Times New Roman"/>
                <w:b/>
                <w:sz w:val="18"/>
              </w:rPr>
              <w:t>Methodological operationalisation</w:t>
            </w:r>
          </w:p>
        </w:tc>
        <w:tc>
          <w:tcPr>
            <w:tcW w:type="dxa" w:w="1881"/>
            <w:vAlign w:val="center"/>
            <w:shd w:fill="D9EAF7"/>
          </w:tcPr>
          <w:p>
            <w:r/>
            <w:r>
              <w:rPr>
                <w:rFonts w:ascii="Times New Roman" w:hAnsi="Times New Roman"/>
                <w:b/>
                <w:sz w:val="18"/>
              </w:rPr>
              <w:t>Executed evidence</w:t>
            </w:r>
          </w:p>
        </w:tc>
        <w:tc>
          <w:tcPr>
            <w:tcW w:type="dxa" w:w="1881"/>
            <w:vAlign w:val="center"/>
            <w:shd w:fill="D9EAF7"/>
          </w:tcPr>
          <w:p>
            <w:r/>
            <w:r>
              <w:rPr>
                <w:rFonts w:ascii="Times New Roman" w:hAnsi="Times New Roman"/>
                <w:b/>
                <w:sz w:val="18"/>
              </w:rPr>
              <w:t>Chapter 4 evidence</w:t>
            </w:r>
          </w:p>
        </w:tc>
        <w:tc>
          <w:tcPr>
            <w:tcW w:type="dxa" w:w="1881"/>
            <w:vAlign w:val="center"/>
            <w:shd w:fill="D9EAF7"/>
          </w:tcPr>
          <w:p>
            <w:r/>
            <w:r>
              <w:rPr>
                <w:rFonts w:ascii="Times New Roman" w:hAnsi="Times New Roman"/>
                <w:b/>
                <w:sz w:val="18"/>
              </w:rPr>
              <w:t>RQ</w:t>
            </w:r>
          </w:p>
        </w:tc>
      </w:tr>
      <w:tr>
        <w:tc>
          <w:tcPr>
            <w:tcW w:type="dxa" w:w="1881"/>
            <w:vAlign w:val="center"/>
          </w:tcPr>
          <w:p>
            <w:r/>
            <w:r>
              <w:rPr>
                <w:rFonts w:ascii="Times New Roman" w:hAnsi="Times New Roman"/>
                <w:b w:val="0"/>
                <w:sz w:val="18"/>
              </w:rPr>
              <w:t>Objective 1</w:t>
            </w:r>
          </w:p>
        </w:tc>
        <w:tc>
          <w:tcPr>
            <w:tcW w:type="dxa" w:w="1881"/>
            <w:vAlign w:val="center"/>
          </w:tcPr>
          <w:p>
            <w:r/>
            <w:r>
              <w:rPr>
                <w:rFonts w:ascii="Times New Roman" w:hAnsi="Times New Roman"/>
                <w:b w:val="0"/>
                <w:sz w:val="18"/>
              </w:rPr>
              <w:t>§§3.5–3.10: term-level prediction, leakage control, model development, validation-only ensemble selection, ten-seed evaluation and ablation</w:t>
            </w:r>
          </w:p>
        </w:tc>
        <w:tc>
          <w:tcPr>
            <w:tcW w:type="dxa" w:w="1881"/>
            <w:vAlign w:val="center"/>
          </w:tcPr>
          <w:p>
            <w:r/>
            <w:r>
              <w:rPr>
                <w:rFonts w:ascii="Times New Roman" w:hAnsi="Times New Roman"/>
                <w:b w:val="0"/>
                <w:sz w:val="18"/>
              </w:rPr>
              <w:t>Steps 17–26: dataset construction, student-level split, canonical features, XGBoost/LightGBM training, validation selection, locked test evaluation, ten-seed stability, naive comparator and threshold sensitivity</w:t>
            </w:r>
          </w:p>
        </w:tc>
        <w:tc>
          <w:tcPr>
            <w:tcW w:type="dxa" w:w="1881"/>
            <w:vAlign w:val="center"/>
          </w:tcPr>
          <w:p>
            <w:r/>
            <w:r>
              <w:rPr>
                <w:rFonts w:ascii="Times New Roman" w:hAnsi="Times New Roman"/>
                <w:b w:val="0"/>
                <w:sz w:val="18"/>
              </w:rPr>
              <w:t>§§4.1–4.5: dataset summary, model performance, robustness, ablation and statistical reporting</w:t>
            </w:r>
          </w:p>
        </w:tc>
        <w:tc>
          <w:tcPr>
            <w:tcW w:type="dxa" w:w="1881"/>
            <w:vAlign w:val="center"/>
          </w:tcPr>
          <w:p>
            <w:r/>
            <w:r>
              <w:rPr>
                <w:rFonts w:ascii="Times New Roman" w:hAnsi="Times New Roman"/>
                <w:b w:val="0"/>
                <w:sz w:val="18"/>
              </w:rPr>
              <w:t>RQ1</w:t>
            </w:r>
          </w:p>
        </w:tc>
      </w:tr>
      <w:tr>
        <w:tc>
          <w:tcPr>
            <w:tcW w:type="dxa" w:w="1881"/>
            <w:vAlign w:val="center"/>
          </w:tcPr>
          <w:p>
            <w:r/>
            <w:r>
              <w:rPr>
                <w:rFonts w:ascii="Times New Roman" w:hAnsi="Times New Roman"/>
                <w:b w:val="0"/>
                <w:sz w:val="18"/>
              </w:rPr>
              <w:t>Objective 2</w:t>
            </w:r>
          </w:p>
        </w:tc>
        <w:tc>
          <w:tcPr>
            <w:tcW w:type="dxa" w:w="1881"/>
            <w:vAlign w:val="center"/>
          </w:tcPr>
          <w:p>
            <w:r/>
            <w:r>
              <w:rPr>
                <w:rFonts w:ascii="Times New Roman" w:hAnsi="Times New Roman"/>
                <w:b w:val="0"/>
                <w:sz w:val="18"/>
              </w:rPr>
              <w:t>§§3.6, 3.11 and 3.14: attendance-decay feature and post-hoc SHAP procedure</w:t>
            </w:r>
          </w:p>
        </w:tc>
        <w:tc>
          <w:tcPr>
            <w:tcW w:type="dxa" w:w="1881"/>
            <w:vAlign w:val="center"/>
          </w:tcPr>
          <w:p>
            <w:r/>
            <w:r>
              <w:rPr>
                <w:rFonts w:ascii="Times New Roman" w:hAnsi="Times New Roman"/>
                <w:b w:val="0"/>
                <w:sz w:val="18"/>
              </w:rPr>
              <w:t>Steps 28A–28C: model-agnostic permutation SHAP, global importance, dependence plots and individual waterfall explanations</w:t>
            </w:r>
          </w:p>
        </w:tc>
        <w:tc>
          <w:tcPr>
            <w:tcW w:type="dxa" w:w="1881"/>
            <w:vAlign w:val="center"/>
          </w:tcPr>
          <w:p>
            <w:r/>
            <w:r>
              <w:rPr>
                <w:rFonts w:ascii="Times New Roman" w:hAnsi="Times New Roman"/>
                <w:b w:val="0"/>
                <w:sz w:val="18"/>
              </w:rPr>
              <w:t>§4.6: global and individual SHAP results</w:t>
            </w:r>
          </w:p>
        </w:tc>
        <w:tc>
          <w:tcPr>
            <w:tcW w:type="dxa" w:w="1881"/>
            <w:vAlign w:val="center"/>
          </w:tcPr>
          <w:p>
            <w:r/>
            <w:r>
              <w:rPr>
                <w:rFonts w:ascii="Times New Roman" w:hAnsi="Times New Roman"/>
                <w:b w:val="0"/>
                <w:sz w:val="18"/>
              </w:rPr>
              <w:t>RQ2</w:t>
            </w:r>
          </w:p>
        </w:tc>
      </w:tr>
      <w:tr>
        <w:tc>
          <w:tcPr>
            <w:tcW w:type="dxa" w:w="1881"/>
            <w:vAlign w:val="center"/>
          </w:tcPr>
          <w:p>
            <w:r/>
            <w:r>
              <w:rPr>
                <w:rFonts w:ascii="Times New Roman" w:hAnsi="Times New Roman"/>
                <w:b w:val="0"/>
                <w:sz w:val="18"/>
              </w:rPr>
              <w:t>Objective 3</w:t>
            </w:r>
          </w:p>
        </w:tc>
        <w:tc>
          <w:tcPr>
            <w:tcW w:type="dxa" w:w="1881"/>
            <w:vAlign w:val="center"/>
          </w:tcPr>
          <w:p>
            <w:r/>
            <w:r>
              <w:rPr>
                <w:rFonts w:ascii="Times New Roman" w:hAnsi="Times New Roman"/>
                <w:b w:val="0"/>
                <w:sz w:val="18"/>
              </w:rPr>
              <w:t>§§3.10–3.12: subgroup mapping, performance metrics, FPR/FNR and descriptive disparity calculations</w:t>
            </w:r>
          </w:p>
        </w:tc>
        <w:tc>
          <w:tcPr>
            <w:tcW w:type="dxa" w:w="1881"/>
            <w:vAlign w:val="center"/>
          </w:tcPr>
          <w:p>
            <w:r/>
            <w:r>
              <w:rPr>
                <w:rFonts w:ascii="Times New Roman" w:hAnsi="Times New Roman"/>
                <w:b w:val="0"/>
                <w:sz w:val="18"/>
              </w:rPr>
              <w:t>Steps 27A–27B: mapped test predictions and gender/class-level subgroup metrics and gaps</w:t>
            </w:r>
          </w:p>
        </w:tc>
        <w:tc>
          <w:tcPr>
            <w:tcW w:type="dxa" w:w="1881"/>
            <w:vAlign w:val="center"/>
          </w:tcPr>
          <w:p>
            <w:r/>
            <w:r>
              <w:rPr>
                <w:rFonts w:ascii="Times New Roman" w:hAnsi="Times New Roman"/>
                <w:b w:val="0"/>
                <w:sz w:val="18"/>
              </w:rPr>
              <w:t>§4.7: subgroup performance and error-rate results</w:t>
            </w:r>
          </w:p>
        </w:tc>
        <w:tc>
          <w:tcPr>
            <w:tcW w:type="dxa" w:w="1881"/>
            <w:vAlign w:val="center"/>
          </w:tcPr>
          <w:p>
            <w:r/>
            <w:r>
              <w:rPr>
                <w:rFonts w:ascii="Times New Roman" w:hAnsi="Times New Roman"/>
                <w:b w:val="0"/>
                <w:sz w:val="18"/>
              </w:rPr>
              <w:t>RQ3</w:t>
            </w:r>
          </w:p>
        </w:tc>
      </w:tr>
    </w:tbl>
    <w:p>
      <w:r>
        <w:t>Table 3.6. Objective-to-method-to-evidence traceability matrix.</w:t>
      </w:r>
    </w:p>
    <w:p>
      <w:r>
        <w:t>The engineered attendance-decay contribution is traceable to Objective 1 through §§3.6 and 3.8 and is evaluated in the controlled three-cell ablation. The study does not claim that attendance decay improved predictive performance.</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rPr>
                <w:rFonts w:ascii="Times New Roman" w:hAnsi="Times New Roman"/>
                <w:b/>
                <w:sz w:val="20"/>
              </w:rPr>
              <w:t>Item</w:t>
            </w:r>
          </w:p>
        </w:tc>
        <w:tc>
          <w:tcPr>
            <w:tcW w:type="dxa" w:w="4703"/>
            <w:vAlign w:val="center"/>
          </w:tcPr>
          <w:p>
            <w:r>
              <w:rPr>
                <w:rFonts w:ascii="Times New Roman" w:hAnsi="Times New Roman"/>
                <w:b/>
                <w:sz w:val="20"/>
              </w:rPr>
              <w:t>Status in revised methodology</w:t>
            </w:r>
          </w:p>
        </w:tc>
      </w:tr>
      <w:tr>
        <w:tc>
          <w:tcPr>
            <w:tcW w:type="dxa" w:w="4703"/>
            <w:vAlign w:val="center"/>
          </w:tcPr>
          <w:p>
            <w:r>
              <w:rPr>
                <w:rFonts w:ascii="Times New Roman" w:hAnsi="Times New Roman"/>
                <w:sz w:val="20"/>
              </w:rPr>
              <w:t>Figure 3.1 — Overall study and modelling pipeline</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3.1 — Variables collected/captured and analytical roles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3.2 — Key executed modelling and feature-engineering settings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3.3 — Final train-validation-test partition and reproducibility controls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3.4 — Definitions of classification evaluation metrics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3.5 — Three-cell ablation design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Equation 3.1 — Temporal attendance-decay formulation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GitHub repository and data-governance statement</w:t>
            </w:r>
          </w:p>
        </w:tc>
        <w:tc>
          <w:tcPr>
            <w:tcW w:type="dxa" w:w="4703"/>
            <w:vAlign w:val="center"/>
          </w:tcPr>
          <w:p>
            <w:r>
              <w:rPr>
                <w:rFonts w:ascii="Times New Roman" w:hAnsi="Times New Roman"/>
                <w:sz w:val="20"/>
              </w:rPr>
              <w:t>Included in Section 3.14</w:t>
            </w:r>
          </w:p>
        </w:tc>
      </w:tr>
      <w:tr>
        <w:tc>
          <w:tcPr>
            <w:tcW w:type="dxa" w:w="4703"/>
            <w:vAlign w:val="center"/>
          </w:tcPr>
          <w:p>
            <w:r>
              <w:rPr>
                <w:rFonts w:ascii="Times New Roman" w:hAnsi="Times New Roman"/>
                <w:sz w:val="20"/>
              </w:rPr>
              <w:t>HUSSREC and institutional approval references</w:t>
            </w:r>
          </w:p>
        </w:tc>
        <w:tc>
          <w:tcPr>
            <w:tcW w:type="dxa" w:w="4703"/>
            <w:vAlign w:val="center"/>
          </w:tcPr>
          <w:p>
            <w:r>
              <w:t>Pending: official HUSSREC reference number has not yet been received; insert exact approved details before submission</w:t>
            </w:r>
          </w:p>
        </w:tc>
      </w:tr>
      <w:tr>
        <w:tc>
          <w:tcPr>
            <w:tcW w:type="dxa" w:w="4703"/>
            <w:vAlign w:val="center"/>
          </w:tcPr>
          <w:p>
            <w:r>
              <w:rPr>
                <w:rFonts w:ascii="Times New Roman" w:hAnsi="Times New Roman"/>
                <w:sz w:val="20"/>
              </w:rPr>
              <w:t>All numerical results</w:t>
            </w:r>
          </w:p>
        </w:tc>
        <w:tc>
          <w:tcPr>
            <w:tcW w:type="dxa" w:w="4703"/>
            <w:vAlign w:val="center"/>
          </w:tcPr>
          <w:p>
            <w:r>
              <w:rPr>
                <w:rFonts w:ascii="Times New Roman" w:hAnsi="Times New Roman"/>
                <w:sz w:val="20"/>
              </w:rPr>
              <w:t>To be reported from saved verified outputs in Chapter 4</w:t>
            </w:r>
          </w:p>
        </w:tc>
      </w:tr>
    </w:tbl>
    <w:p/>
    <w:p>
      <w:pPr>
        <w:jc w:val="center"/>
      </w:pPr>
      <w:r>
        <w:t>Table 3.7. Required Chapter Three figures, tables and reproducibility items.</w:t>
      </w:r>
    </w:p>
    <w:p>
      <w:r>
        <w:t>3.16 Supervisor Verification Checklist</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rPr>
                <w:rFonts w:ascii="Times New Roman" w:hAnsi="Times New Roman"/>
                <w:b/>
                <w:sz w:val="20"/>
              </w:rPr>
              <w:t>Verification item</w:t>
            </w:r>
          </w:p>
        </w:tc>
        <w:tc>
          <w:tcPr>
            <w:tcW w:type="dxa" w:w="4703"/>
            <w:vAlign w:val="center"/>
          </w:tcPr>
          <w:p>
            <w:r>
              <w:rPr>
                <w:rFonts w:ascii="Times New Roman" w:hAnsi="Times New Roman"/>
                <w:b/>
                <w:sz w:val="20"/>
              </w:rPr>
              <w:t>Final methodological status</w:t>
            </w:r>
          </w:p>
        </w:tc>
      </w:tr>
      <w:tr>
        <w:tc>
          <w:tcPr>
            <w:tcW w:type="dxa" w:w="4703"/>
            <w:vAlign w:val="center"/>
          </w:tcPr>
          <w:p>
            <w:r>
              <w:rPr>
                <w:rFonts w:ascii="Times New Roman" w:hAnsi="Times New Roman"/>
                <w:sz w:val="20"/>
              </w:rPr>
              <w:t>Prescribed Methods order</w:t>
            </w:r>
          </w:p>
        </w:tc>
        <w:tc>
          <w:tcPr>
            <w:tcW w:type="dxa" w:w="4703"/>
            <w:vAlign w:val="center"/>
          </w:tcPr>
          <w:p>
            <w:r>
              <w:rPr>
                <w:rFonts w:ascii="Times New Roman" w:hAnsi="Times New Roman"/>
                <w:sz w:val="20"/>
              </w:rPr>
              <w:t>16 sections retained in the supervisor-required order</w:t>
            </w:r>
          </w:p>
        </w:tc>
      </w:tr>
      <w:tr>
        <w:tc>
          <w:tcPr>
            <w:tcW w:type="dxa" w:w="4703"/>
            <w:vAlign w:val="center"/>
          </w:tcPr>
          <w:p>
            <w:r>
              <w:rPr>
                <w:rFonts w:ascii="Times New Roman" w:hAnsi="Times New Roman"/>
                <w:sz w:val="20"/>
              </w:rPr>
              <w:t>Study setting</w:t>
            </w:r>
          </w:p>
        </w:tc>
        <w:tc>
          <w:tcPr>
            <w:tcW w:type="dxa" w:w="4703"/>
            <w:vAlign w:val="center"/>
          </w:tcPr>
          <w:p>
            <w:r>
              <w:rPr>
                <w:rFonts w:ascii="Times New Roman" w:hAnsi="Times New Roman"/>
                <w:sz w:val="20"/>
              </w:rPr>
              <w:t>Multiple public JHS in the study area, with participating schools anonymised in the analysis</w:t>
            </w:r>
          </w:p>
        </w:tc>
      </w:tr>
      <w:tr>
        <w:tc>
          <w:tcPr>
            <w:tcW w:type="dxa" w:w="4703"/>
            <w:vAlign w:val="center"/>
          </w:tcPr>
          <w:p>
            <w:r>
              <w:rPr>
                <w:rFonts w:ascii="Times New Roman" w:hAnsi="Times New Roman"/>
                <w:sz w:val="20"/>
              </w:rPr>
              <w:t>Source records</w:t>
            </w:r>
          </w:p>
        </w:tc>
        <w:tc>
          <w:tcPr>
            <w:tcW w:type="dxa" w:w="4703"/>
            <w:vAlign w:val="center"/>
          </w:tcPr>
          <w:p>
            <w:r>
              <w:rPr>
                <w:rFonts w:ascii="Times New Roman" w:hAnsi="Times New Roman"/>
                <w:sz w:val="20"/>
              </w:rPr>
              <w:t>2,400 term-level records across six term sheets</w:t>
            </w:r>
          </w:p>
        </w:tc>
      </w:tr>
      <w:tr>
        <w:tc>
          <w:tcPr>
            <w:tcW w:type="dxa" w:w="4703"/>
            <w:vAlign w:val="center"/>
          </w:tcPr>
          <w:p>
            <w:r>
              <w:rPr>
                <w:rFonts w:ascii="Times New Roman" w:hAnsi="Times New Roman"/>
                <w:sz w:val="20"/>
              </w:rPr>
              <w:t>Final supervised sample</w:t>
            </w:r>
          </w:p>
        </w:tc>
        <w:tc>
          <w:tcPr>
            <w:tcW w:type="dxa" w:w="4703"/>
            <w:vAlign w:val="center"/>
          </w:tcPr>
          <w:p>
            <w:r>
              <w:rPr>
                <w:rFonts w:ascii="Times New Roman" w:hAnsi="Times New Roman"/>
                <w:sz w:val="20"/>
              </w:rPr>
              <w:t>541 eligible student-year observations; 340 unique students</w:t>
            </w:r>
          </w:p>
        </w:tc>
      </w:tr>
      <w:tr>
        <w:tc>
          <w:tcPr>
            <w:tcW w:type="dxa" w:w="4703"/>
            <w:vAlign w:val="center"/>
          </w:tcPr>
          <w:p>
            <w:r>
              <w:rPr>
                <w:rFonts w:ascii="Times New Roman" w:hAnsi="Times New Roman"/>
                <w:sz w:val="20"/>
              </w:rPr>
              <w:t>Eligibility rule</w:t>
            </w:r>
          </w:p>
        </w:tc>
        <w:tc>
          <w:tcPr>
            <w:tcW w:type="dxa" w:w="4703"/>
            <w:vAlign w:val="center"/>
          </w:tcPr>
          <w:p>
            <w:r>
              <w:rPr>
                <w:rFonts w:ascii="Times New Roman" w:hAnsi="Times New Roman"/>
                <w:sz w:val="20"/>
              </w:rPr>
              <w:t>Term 3 target observed; 259 trajectories without observed Term 3 target excluded without imputation</w:t>
            </w:r>
          </w:p>
        </w:tc>
      </w:tr>
      <w:tr>
        <w:tc>
          <w:tcPr>
            <w:tcW w:type="dxa" w:w="4703"/>
            <w:vAlign w:val="center"/>
          </w:tcPr>
          <w:p>
            <w:r>
              <w:rPr>
                <w:rFonts w:ascii="Times New Roman" w:hAnsi="Times New Roman"/>
                <w:sz w:val="20"/>
              </w:rPr>
              <w:t>Prediction mechanism</w:t>
            </w:r>
          </w:p>
        </w:tc>
        <w:tc>
          <w:tcPr>
            <w:tcW w:type="dxa" w:w="4703"/>
            <w:vAlign w:val="center"/>
          </w:tcPr>
          <w:p>
            <w:r>
              <w:rPr>
                <w:rFonts w:ascii="Times New Roman" w:hAnsi="Times New Roman"/>
                <w:sz w:val="20"/>
              </w:rPr>
              <w:t>Term 3 outcome predicted from Terms 1 and 2</w:t>
            </w:r>
          </w:p>
        </w:tc>
      </w:tr>
      <w:tr>
        <w:tc>
          <w:tcPr>
            <w:tcW w:type="dxa" w:w="4703"/>
            <w:vAlign w:val="center"/>
          </w:tcPr>
          <w:p>
            <w:r>
              <w:rPr>
                <w:rFonts w:ascii="Times New Roman" w:hAnsi="Times New Roman"/>
                <w:sz w:val="20"/>
              </w:rPr>
              <w:t>Student-level leakage control</w:t>
            </w:r>
          </w:p>
        </w:tc>
        <w:tc>
          <w:tcPr>
            <w:tcW w:type="dxa" w:w="4703"/>
            <w:vAlign w:val="center"/>
          </w:tcPr>
          <w:p>
            <w:r>
              <w:rPr>
                <w:rFonts w:ascii="Times New Roman" w:hAnsi="Times New Roman"/>
                <w:sz w:val="20"/>
              </w:rPr>
              <w:t>No student overlap across training, validation and test</w:t>
            </w:r>
          </w:p>
        </w:tc>
      </w:tr>
      <w:tr>
        <w:tc>
          <w:tcPr>
            <w:tcW w:type="dxa" w:w="4703"/>
            <w:vAlign w:val="center"/>
          </w:tcPr>
          <w:p>
            <w:r>
              <w:rPr>
                <w:rFonts w:ascii="Times New Roman" w:hAnsi="Times New Roman"/>
                <w:sz w:val="20"/>
              </w:rPr>
              <w:t>Train / validation / test</w:t>
            </w:r>
          </w:p>
        </w:tc>
        <w:tc>
          <w:tcPr>
            <w:tcW w:type="dxa" w:w="4703"/>
            <w:vAlign w:val="center"/>
          </w:tcPr>
          <w:p>
            <w:r>
              <w:rPr>
                <w:rFonts w:ascii="Times New Roman" w:hAnsi="Times New Roman"/>
                <w:sz w:val="20"/>
              </w:rPr>
              <w:t>318 / 113 / 110 observations</w:t>
            </w:r>
          </w:p>
        </w:tc>
      </w:tr>
      <w:tr>
        <w:tc>
          <w:tcPr>
            <w:tcW w:type="dxa" w:w="4703"/>
            <w:vAlign w:val="center"/>
          </w:tcPr>
          <w:p>
            <w:r>
              <w:rPr>
                <w:rFonts w:ascii="Times New Roman" w:hAnsi="Times New Roman"/>
                <w:sz w:val="20"/>
              </w:rPr>
              <w:t>At-risk target</w:t>
            </w:r>
          </w:p>
        </w:tc>
        <w:tc>
          <w:tcPr>
            <w:tcW w:type="dxa" w:w="4703"/>
            <w:vAlign w:val="center"/>
          </w:tcPr>
          <w:p>
            <w:r>
              <w:rPr>
                <w:rFonts w:ascii="Times New Roman" w:hAnsi="Times New Roman"/>
                <w:sz w:val="20"/>
              </w:rPr>
              <w:t>Term 3 score &lt;50 = At Risk; ≥50 = Not At Risk</w:t>
            </w:r>
          </w:p>
        </w:tc>
      </w:tr>
      <w:tr>
        <w:tc>
          <w:tcPr>
            <w:tcW w:type="dxa" w:w="4703"/>
            <w:vAlign w:val="center"/>
          </w:tcPr>
          <w:p>
            <w:r>
              <w:rPr>
                <w:rFonts w:ascii="Times New Roman" w:hAnsi="Times New Roman"/>
                <w:sz w:val="20"/>
              </w:rPr>
              <w:t>Target distribution</w:t>
            </w:r>
          </w:p>
        </w:tc>
        <w:tc>
          <w:tcPr>
            <w:tcW w:type="dxa" w:w="4703"/>
            <w:vAlign w:val="center"/>
          </w:tcPr>
          <w:p>
            <w:r>
              <w:rPr>
                <w:rFonts w:ascii="Times New Roman" w:hAnsi="Times New Roman"/>
                <w:sz w:val="20"/>
              </w:rPr>
              <w:t>121 At Risk; 420 Not At Risk</w:t>
            </w:r>
          </w:p>
        </w:tc>
      </w:tr>
      <w:tr>
        <w:tc>
          <w:tcPr>
            <w:tcW w:type="dxa" w:w="4703"/>
            <w:vAlign w:val="center"/>
          </w:tcPr>
          <w:p>
            <w:r>
              <w:rPr>
                <w:rFonts w:ascii="Times New Roman" w:hAnsi="Times New Roman"/>
                <w:sz w:val="20"/>
              </w:rPr>
              <w:t>Attendance representation</w:t>
            </w:r>
          </w:p>
        </w:tc>
        <w:tc>
          <w:tcPr>
            <w:tcW w:type="dxa" w:w="4703"/>
            <w:vAlign w:val="center"/>
          </w:tcPr>
          <w:p>
            <w:r>
              <w:rPr>
                <w:rFonts w:ascii="Times New Roman" w:hAnsi="Times New Roman"/>
                <w:sz w:val="20"/>
              </w:rPr>
              <w:t>Term 1 and Term 2 attendance rates; numerator and denominator not jointly entered</w:t>
            </w:r>
          </w:p>
        </w:tc>
      </w:tr>
      <w:tr>
        <w:tc>
          <w:tcPr>
            <w:tcW w:type="dxa" w:w="4703"/>
            <w:vAlign w:val="center"/>
          </w:tcPr>
          <w:p>
            <w:r>
              <w:rPr>
                <w:rFonts w:ascii="Times New Roman" w:hAnsi="Times New Roman"/>
                <w:sz w:val="20"/>
              </w:rPr>
              <w:t>Engineered operation</w:t>
            </w:r>
          </w:p>
        </w:tc>
        <w:tc>
          <w:tcPr>
            <w:tcW w:type="dxa" w:w="4703"/>
            <w:vAlign w:val="center"/>
          </w:tcPr>
          <w:p>
            <w:r>
              <w:rPr>
                <w:rFonts w:ascii="Times New Roman" w:hAnsi="Times New Roman"/>
                <w:sz w:val="20"/>
              </w:rPr>
              <w:t>FABRICATE: attendance_decay</w:t>
            </w:r>
          </w:p>
        </w:tc>
      </w:tr>
      <w:tr>
        <w:tc>
          <w:tcPr>
            <w:tcW w:type="dxa" w:w="4703"/>
            <w:vAlign w:val="center"/>
          </w:tcPr>
          <w:p>
            <w:r>
              <w:rPr>
                <w:rFonts w:ascii="Times New Roman" w:hAnsi="Times New Roman"/>
                <w:sz w:val="20"/>
              </w:rPr>
              <w:t>Decay parameter</w:t>
            </w:r>
          </w:p>
        </w:tc>
        <w:tc>
          <w:tcPr>
            <w:tcW w:type="dxa" w:w="4703"/>
            <w:vAlign w:val="center"/>
          </w:tcPr>
          <w:p>
            <w:r>
              <w:rPr>
                <w:rFonts w:ascii="Times New Roman" w:hAnsi="Times New Roman"/>
                <w:sz w:val="20"/>
              </w:rPr>
              <w:t>λ = 0.5; Term 1 weight 0.377541; Term 2 weight 0.622459</w:t>
            </w:r>
          </w:p>
        </w:tc>
      </w:tr>
      <w:tr>
        <w:tc>
          <w:tcPr>
            <w:tcW w:type="dxa" w:w="4703"/>
            <w:vAlign w:val="center"/>
          </w:tcPr>
          <w:p>
            <w:r>
              <w:rPr>
                <w:rFonts w:ascii="Times New Roman" w:hAnsi="Times New Roman"/>
                <w:sz w:val="20"/>
              </w:rPr>
              <w:t>Model learners</w:t>
            </w:r>
          </w:p>
        </w:tc>
        <w:tc>
          <w:tcPr>
            <w:tcW w:type="dxa" w:w="4703"/>
            <w:vAlign w:val="center"/>
          </w:tcPr>
          <w:p>
            <w:r>
              <w:rPr>
                <w:rFonts w:ascii="Times New Roman" w:hAnsi="Times New Roman"/>
                <w:sz w:val="20"/>
              </w:rPr>
              <w:t>XGBoost and LightGBM</w:t>
            </w:r>
          </w:p>
        </w:tc>
      </w:tr>
      <w:tr>
        <w:tc>
          <w:tcPr>
            <w:tcW w:type="dxa" w:w="4703"/>
            <w:vAlign w:val="center"/>
          </w:tcPr>
          <w:p>
            <w:r>
              <w:rPr>
                <w:rFonts w:ascii="Times New Roman" w:hAnsi="Times New Roman"/>
                <w:sz w:val="20"/>
              </w:rPr>
              <w:t>Ensemble selection</w:t>
            </w:r>
          </w:p>
        </w:tc>
        <w:tc>
          <w:tcPr>
            <w:tcW w:type="dxa" w:w="4703"/>
            <w:vAlign w:val="center"/>
          </w:tcPr>
          <w:p>
            <w:r>
              <w:rPr>
                <w:rFonts w:ascii="Times New Roman" w:hAnsi="Times New Roman"/>
                <w:sz w:val="20"/>
              </w:rPr>
              <w:t>Validation-only weight selection</w:t>
            </w:r>
          </w:p>
        </w:tc>
      </w:tr>
      <w:tr>
        <w:tc>
          <w:tcPr>
            <w:tcW w:type="dxa" w:w="4703"/>
            <w:vAlign w:val="center"/>
          </w:tcPr>
          <w:p>
            <w:r>
              <w:rPr>
                <w:rFonts w:ascii="Times New Roman" w:hAnsi="Times New Roman"/>
                <w:sz w:val="20"/>
              </w:rPr>
              <w:t>Locked Seed 42 ensemble</w:t>
            </w:r>
          </w:p>
        </w:tc>
        <w:tc>
          <w:tcPr>
            <w:tcW w:type="dxa" w:w="4703"/>
            <w:vAlign w:val="center"/>
          </w:tcPr>
          <w:p>
            <w:r>
              <w:rPr>
                <w:rFonts w:ascii="Times New Roman" w:hAnsi="Times New Roman"/>
                <w:sz w:val="20"/>
              </w:rPr>
              <w:t>0.10 XGBoost / 0.90 LightGBM</w:t>
            </w:r>
          </w:p>
        </w:tc>
      </w:tr>
      <w:tr>
        <w:tc>
          <w:tcPr>
            <w:tcW w:type="dxa" w:w="4703"/>
            <w:vAlign w:val="center"/>
          </w:tcPr>
          <w:p>
            <w:r>
              <w:rPr>
                <w:rFonts w:ascii="Times New Roman" w:hAnsi="Times New Roman"/>
                <w:sz w:val="20"/>
              </w:rPr>
              <w:t>Stability</w:t>
            </w:r>
          </w:p>
        </w:tc>
        <w:tc>
          <w:tcPr>
            <w:tcW w:type="dxa" w:w="4703"/>
            <w:vAlign w:val="center"/>
          </w:tcPr>
          <w:p>
            <w:r>
              <w:rPr>
                <w:rFonts w:ascii="Times New Roman" w:hAnsi="Times New Roman"/>
                <w:sz w:val="20"/>
              </w:rPr>
              <w:t>Ten seeds: 42–51</w:t>
            </w:r>
          </w:p>
        </w:tc>
      </w:tr>
      <w:tr>
        <w:tc>
          <w:tcPr>
            <w:tcW w:type="dxa" w:w="4703"/>
            <w:vAlign w:val="center"/>
          </w:tcPr>
          <w:p>
            <w:r>
              <w:rPr>
                <w:rFonts w:ascii="Times New Roman" w:hAnsi="Times New Roman"/>
                <w:sz w:val="20"/>
              </w:rPr>
              <w:t>Naive comparator</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Ablation</w:t>
            </w:r>
          </w:p>
        </w:tc>
        <w:tc>
          <w:tcPr>
            <w:tcW w:type="dxa" w:w="4703"/>
            <w:vAlign w:val="center"/>
          </w:tcPr>
          <w:p>
            <w:r>
              <w:rPr>
                <w:rFonts w:ascii="Times New Roman" w:hAnsi="Times New Roman"/>
                <w:sz w:val="20"/>
              </w:rPr>
              <w:t>Three-cell controlled ablation included</w:t>
            </w:r>
          </w:p>
        </w:tc>
      </w:tr>
      <w:tr>
        <w:tc>
          <w:tcPr>
            <w:tcW w:type="dxa" w:w="4703"/>
            <w:vAlign w:val="center"/>
          </w:tcPr>
          <w:p>
            <w:r>
              <w:rPr>
                <w:rFonts w:ascii="Times New Roman" w:hAnsi="Times New Roman"/>
                <w:sz w:val="20"/>
              </w:rPr>
              <w:t>Fairness</w:t>
            </w:r>
          </w:p>
        </w:tc>
        <w:tc>
          <w:tcPr>
            <w:tcW w:type="dxa" w:w="4703"/>
            <w:vAlign w:val="center"/>
          </w:tcPr>
          <w:p>
            <w:r>
              <w:rPr>
                <w:rFonts w:ascii="Times New Roman" w:hAnsi="Times New Roman"/>
                <w:sz w:val="20"/>
              </w:rPr>
              <w:t>Gender and estimable class-level subgroups; socioeconomic fairness not claimed</w:t>
            </w:r>
          </w:p>
        </w:tc>
      </w:tr>
      <w:tr>
        <w:tc>
          <w:tcPr>
            <w:tcW w:type="dxa" w:w="4703"/>
            <w:vAlign w:val="center"/>
          </w:tcPr>
          <w:p>
            <w:r>
              <w:rPr>
                <w:rFonts w:ascii="Times New Roman" w:hAnsi="Times New Roman"/>
                <w:sz w:val="20"/>
              </w:rPr>
              <w:t>SHAP</w:t>
            </w:r>
          </w:p>
        </w:tc>
        <w:tc>
          <w:tcPr>
            <w:tcW w:type="dxa" w:w="4703"/>
            <w:vAlign w:val="center"/>
          </w:tcPr>
          <w:p>
            <w:r>
              <w:rPr>
                <w:rFonts w:ascii="Times New Roman" w:hAnsi="Times New Roman"/>
                <w:sz w:val="20"/>
              </w:rPr>
              <w:t>Post-hoc model-agnostic permutation SHAP on held-out data</w:t>
            </w:r>
          </w:p>
        </w:tc>
      </w:tr>
      <w:tr>
        <w:tc>
          <w:tcPr>
            <w:tcW w:type="dxa" w:w="4703"/>
            <w:vAlign w:val="center"/>
          </w:tcPr>
          <w:p>
            <w:r>
              <w:rPr>
                <w:rFonts w:ascii="Times New Roman" w:hAnsi="Times New Roman"/>
                <w:sz w:val="20"/>
              </w:rPr>
              <w:t>Inferential significance test</w:t>
            </w:r>
          </w:p>
        </w:tc>
        <w:tc>
          <w:tcPr>
            <w:tcW w:type="dxa" w:w="4703"/>
            <w:vAlign w:val="center"/>
          </w:tcPr>
          <w:p>
            <w:r>
              <w:rPr>
                <w:rFonts w:ascii="Times New Roman" w:hAnsi="Times New Roman"/>
                <w:sz w:val="20"/>
              </w:rPr>
              <w:t>Not executed; no p-value claim</w:t>
            </w:r>
          </w:p>
        </w:tc>
      </w:tr>
      <w:tr>
        <w:tc>
          <w:tcPr>
            <w:tcW w:type="dxa" w:w="4703"/>
            <w:vAlign w:val="center"/>
          </w:tcPr>
          <w:p>
            <w:r>
              <w:rPr>
                <w:rFonts w:ascii="Times New Roman" w:hAnsi="Times New Roman"/>
                <w:sz w:val="20"/>
              </w:rPr>
              <w:t>GitHub</w:t>
            </w:r>
          </w:p>
        </w:tc>
        <w:tc>
          <w:tcPr>
            <w:tcW w:type="dxa" w:w="4703"/>
            <w:vAlign w:val="center"/>
          </w:tcPr>
          <w:p>
            <w:r>
              <w:rPr>
                <w:rFonts w:ascii="Times New Roman" w:hAnsi="Times New Roman"/>
                <w:sz w:val="20"/>
              </w:rPr>
              <w:t>https://github.com/generalh018-a11y/Ghana_JHS_Academic_Performance</w:t>
            </w:r>
          </w:p>
        </w:tc>
      </w:tr>
      <w:tr>
        <w:tc>
          <w:tcPr>
            <w:tcW w:type="dxa" w:w="4703"/>
            <w:vAlign w:val="center"/>
          </w:tcPr>
          <w:p>
            <w:r>
              <w:rPr>
                <w:rFonts w:ascii="Times New Roman" w:hAnsi="Times New Roman"/>
                <w:sz w:val="20"/>
              </w:rPr>
              <w:t>Raw student data</w:t>
            </w:r>
          </w:p>
        </w:tc>
        <w:tc>
          <w:tcPr>
            <w:tcW w:type="dxa" w:w="4703"/>
            <w:vAlign w:val="center"/>
          </w:tcPr>
          <w:p>
            <w:r>
              <w:rPr>
                <w:rFonts w:ascii="Times New Roman" w:hAnsi="Times New Roman"/>
                <w:sz w:val="20"/>
              </w:rPr>
              <w:t>Excluded from public repository</w:t>
            </w:r>
          </w:p>
        </w:tc>
      </w:tr>
      <w:tr>
        <w:tc>
          <w:tcPr>
            <w:tcW w:type="dxa" w:w="4703"/>
            <w:vAlign w:val="center"/>
          </w:tcPr>
          <w:p>
            <w:r>
              <w:rPr>
                <w:rFonts w:ascii="Times New Roman" w:hAnsi="Times New Roman"/>
                <w:sz w:val="20"/>
              </w:rPr>
              <w:t>HUSSREC reference</w:t>
            </w:r>
          </w:p>
        </w:tc>
        <w:tc>
          <w:tcPr>
            <w:tcW w:type="dxa" w:w="4703"/>
            <w:vAlign w:val="center"/>
          </w:tcPr>
          <w:p>
            <w:r>
              <w:t>Pending; insert exact approved reference number before submission</w:t>
            </w:r>
          </w:p>
        </w:tc>
      </w:tr>
    </w:tbl>
    <w:p/>
    <w:p>
      <w:pPr>
        <w:jc w:val="center"/>
      </w:pPr>
      <w:r>
        <w:t>Table 3.8. Supervisor verification checklist for the final Chapter Three methodology.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 Methodology (Submission Version)</dc:title>
  <dc:subject>Supervisor TESTBED feedback-aligned final methodology</dc:subject>
  <dc:creator>Osafo Simon Yeboah</dc:creator>
  <cp:keywords/>
  <dc:description>generated by python-docx</dc:description>
  <cp:lastModifiedBy/>
  <cp:revision>1</cp:revision>
  <dcterms:created xsi:type="dcterms:W3CDTF">2013-12-23T23:15:00Z</dcterms:created>
  <dcterms:modified xsi:type="dcterms:W3CDTF">2013-12-23T23:15:00Z</dcterms:modified>
  <cp:category/>
</cp:coreProperties>
</file>