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CHAPTER THREE</w:t>
      </w:r>
    </w:p>
    <w:p>
      <w:pPr>
        <w:jc w:val="center"/>
      </w:pPr>
      <w:r>
        <w:rPr>
          <w:b/>
          <w:sz w:val="32"/>
        </w:rPr>
        <w:t>METHODOLOGY</w:t>
      </w:r>
    </w:p>
    <w:p>
      <w:r>
        <w:t>This chapter presents the methodology used to develop and evaluate the explainable and fairness-aware machine-learning framework for predicting Junior High School (JHS) academic performance in Ghana. The chapter follows the prescribed Methods Section order exactly and distinguishes the primary continuous-performance experiment from the secondary at-risk classification experiment.</w:t>
      </w:r>
    </w:p>
    <w:p>
      <w:pPr>
        <w:pStyle w:val="Heading1"/>
      </w:pPr>
      <w:r>
        <w:t>3.1 Study Design and System Overview</w:t>
      </w:r>
    </w:p>
    <w:p>
      <w:r>
        <w:t>The study adopted a quantitative, experimental machine-learning design. The design was selected because the research objectives require numerical modelling, objective comparison of predictive performance, explainability analysis and assessment of predictive disparities across demographic and class-level subgroups.</w:t>
      </w:r>
    </w:p>
    <w:p>
      <w:r>
        <w:t>The overall workflow consisted of data acquisition and validation, construction of the student-year analytical dataset, preprocessing and leakage control, feature engineering, baseline model development, ensemble construction, model evaluation, SHAP-based explainability, fairness assessment and reproducibility controls.</w:t>
      </w:r>
    </w:p>
    <w:p>
      <w:r>
        <w:t>The primary task was continuous prediction of overall_average_score. A secondary early-warning classification analysis was also implemented, defining students with an overall score below 50 as At Risk and students with scores of 50 or above as Not At Risk.</w:t>
      </w:r>
    </w:p>
    <w:p>
      <w:pPr>
        <w:jc w:val="center"/>
      </w:pPr>
      <w:r>
        <w:t>Figure 3.1. Overall study and modelling pipeline.</w:t>
      </w:r>
    </w:p>
    <w:p>
      <w:pPr>
        <w:jc w:val="center"/>
      </w:pPr>
      <w:r>
        <w:drawing>
          <wp:inline xmlns:a="http://schemas.openxmlformats.org/drawingml/2006/main" xmlns:pic="http://schemas.openxmlformats.org/drawingml/2006/picture">
            <wp:extent cx="5943600" cy="1668029"/>
            <wp:docPr id="1" name="Picture 1"/>
            <wp:cNvGraphicFramePr>
              <a:graphicFrameLocks noChangeAspect="1"/>
            </wp:cNvGraphicFramePr>
            <a:graphic>
              <a:graphicData uri="http://schemas.openxmlformats.org/drawingml/2006/picture">
                <pic:pic>
                  <pic:nvPicPr>
                    <pic:cNvPr id="0" name="Figure_3_1_overall_modelling_pipeline.png"/>
                    <pic:cNvPicPr/>
                  </pic:nvPicPr>
                  <pic:blipFill>
                    <a:blip r:embed="rId10"/>
                    <a:stretch>
                      <a:fillRect/>
                    </a:stretch>
                  </pic:blipFill>
                  <pic:spPr>
                    <a:xfrm>
                      <a:off x="0" y="0"/>
                      <a:ext cx="5943600" cy="1668029"/>
                    </a:xfrm>
                    <a:prstGeom prst="rect"/>
                  </pic:spPr>
                </pic:pic>
              </a:graphicData>
            </a:graphic>
          </wp:inline>
        </w:drawing>
      </w:r>
    </w:p>
    <w:p>
      <w:pPr>
        <w:pStyle w:val="Heading1"/>
      </w:pPr>
      <w:r>
        <w:t>3.2 Research Setting and Data Acquisition (Hybrid: Public + Field/System Log)</w:t>
      </w:r>
    </w:p>
    <w:p>
      <w:r>
        <w:t>The study was conducted in Korle Klottey Municipality in the Greater Accra Region of Ghana. The source institution was one public Junior High School, anonymised as School A. The study population comprised historical records for JHS1, JHS2 and JHS3 students covering the 2022–2023 and 2023–2024 academic years.</w:t>
      </w:r>
    </w:p>
    <w:p>
      <w:r>
        <w:t>The institutional workbook contained six term-level sheets: 2022–2023 Term 1, Term 2 and Term 3, and 2023–2024 Term 1, Term 2 and Term 3. Each sheet contained 400 student records, giving 2,400 term-level records before aggregation. The extracted variables included anonymised student identifiers, class level, academic year, gender, age, attendance measures, subject scores, term averages and selected administrative variables.</w:t>
      </w:r>
    </w:p>
    <w:p>
      <w:r>
        <w:t>Alignment note: the prescribed heading uses the label 'Hybrid: Public + Field/System Log'. The executed study, however, was based on institutional school records from School A. No separate public dataset or external field/system-log source was incorporated into the reported experiment; therefore, none is claimed here.</w:t>
      </w:r>
    </w:p>
    <w:p>
      <w:pPr>
        <w:jc w:val="center"/>
      </w:pPr>
      <w:r>
        <w:rPr>
          <w:b/>
        </w:rPr>
        <w:t>Table 3.1. Variables collected/captured and their analytical roles.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Variable</w:t>
            </w:r>
          </w:p>
        </w:tc>
        <w:tc>
          <w:tcPr>
            <w:tcW w:type="dxa" w:w="3120"/>
          </w:tcPr>
          <w:p>
            <w:r>
              <w:rPr>
                <w:b/>
              </w:rPr>
              <w:t>Description</w:t>
            </w:r>
          </w:p>
        </w:tc>
        <w:tc>
          <w:tcPr>
            <w:tcW w:type="dxa" w:w="3120"/>
          </w:tcPr>
          <w:p>
            <w:r>
              <w:rPr>
                <w:b/>
              </w:rPr>
              <w:t>Analytical role</w:t>
            </w:r>
          </w:p>
        </w:tc>
      </w:tr>
      <w:tr>
        <w:tc>
          <w:tcPr>
            <w:tcW w:type="dxa" w:w="3120"/>
          </w:tcPr>
          <w:p>
            <w:r>
              <w:t>student_id</w:t>
            </w:r>
          </w:p>
        </w:tc>
        <w:tc>
          <w:tcPr>
            <w:tcW w:type="dxa" w:w="3120"/>
          </w:tcPr>
          <w:p>
            <w:r>
              <w:t>Anonymised student identifier</w:t>
            </w:r>
          </w:p>
        </w:tc>
        <w:tc>
          <w:tcPr>
            <w:tcW w:type="dxa" w:w="3120"/>
          </w:tcPr>
          <w:p>
            <w:r>
              <w:t>Record linkage / administration</w:t>
            </w:r>
          </w:p>
        </w:tc>
      </w:tr>
      <w:tr>
        <w:tc>
          <w:tcPr>
            <w:tcW w:type="dxa" w:w="3120"/>
          </w:tcPr>
          <w:p>
            <w:r>
              <w:t>class_level</w:t>
            </w:r>
          </w:p>
        </w:tc>
        <w:tc>
          <w:tcPr>
            <w:tcW w:type="dxa" w:w="3120"/>
          </w:tcPr>
          <w:p>
            <w:r>
              <w:t>JHS1, JHS2 or JHS3</w:t>
            </w:r>
          </w:p>
        </w:tc>
        <w:tc>
          <w:tcPr>
            <w:tcW w:type="dxa" w:w="3120"/>
          </w:tcPr>
          <w:p>
            <w:r>
              <w:t>Predictor; fairness subgroup</w:t>
            </w:r>
          </w:p>
        </w:tc>
      </w:tr>
      <w:tr>
        <w:tc>
          <w:tcPr>
            <w:tcW w:type="dxa" w:w="3120"/>
          </w:tcPr>
          <w:p>
            <w:r>
              <w:t>academic_year</w:t>
            </w:r>
          </w:p>
        </w:tc>
        <w:tc>
          <w:tcPr>
            <w:tcW w:type="dxa" w:w="3120"/>
          </w:tcPr>
          <w:p>
            <w:r>
              <w:t>2022–2023 or 2023–2024</w:t>
            </w:r>
          </w:p>
        </w:tc>
        <w:tc>
          <w:tcPr>
            <w:tcW w:type="dxa" w:w="3120"/>
          </w:tcPr>
          <w:p>
            <w:r>
              <w:t>Predictor</w:t>
            </w:r>
          </w:p>
        </w:tc>
      </w:tr>
      <w:tr>
        <w:tc>
          <w:tcPr>
            <w:tcW w:type="dxa" w:w="3120"/>
          </w:tcPr>
          <w:p>
            <w:r>
              <w:t>gender</w:t>
            </w:r>
          </w:p>
        </w:tc>
        <w:tc>
          <w:tcPr>
            <w:tcW w:type="dxa" w:w="3120"/>
          </w:tcPr>
          <w:p>
            <w:r>
              <w:t>Female or Male</w:t>
            </w:r>
          </w:p>
        </w:tc>
        <w:tc>
          <w:tcPr>
            <w:tcW w:type="dxa" w:w="3120"/>
          </w:tcPr>
          <w:p>
            <w:r>
              <w:t>Predictor; fairness subgroup</w:t>
            </w:r>
          </w:p>
        </w:tc>
      </w:tr>
      <w:tr>
        <w:tc>
          <w:tcPr>
            <w:tcW w:type="dxa" w:w="3120"/>
          </w:tcPr>
          <w:p>
            <w:r>
              <w:t>age_years</w:t>
            </w:r>
          </w:p>
        </w:tc>
        <w:tc>
          <w:tcPr>
            <w:tcW w:type="dxa" w:w="3120"/>
          </w:tcPr>
          <w:p>
            <w:r>
              <w:t>Student age in years</w:t>
            </w:r>
          </w:p>
        </w:tc>
        <w:tc>
          <w:tcPr>
            <w:tcW w:type="dxa" w:w="3120"/>
          </w:tcPr>
          <w:p>
            <w:r>
              <w:t>Predictor</w:t>
            </w:r>
          </w:p>
        </w:tc>
      </w:tr>
      <w:tr>
        <w:tc>
          <w:tcPr>
            <w:tcW w:type="dxa" w:w="3120"/>
          </w:tcPr>
          <w:p>
            <w:r>
              <w:t>days_present</w:t>
            </w:r>
          </w:p>
        </w:tc>
        <w:tc>
          <w:tcPr>
            <w:tcW w:type="dxa" w:w="3120"/>
          </w:tcPr>
          <w:p>
            <w:r>
              <w:t>Days attended during a term</w:t>
            </w:r>
          </w:p>
        </w:tc>
        <w:tc>
          <w:tcPr>
            <w:tcW w:type="dxa" w:w="3120"/>
          </w:tcPr>
          <w:p>
            <w:r>
              <w:t>Attendance input</w:t>
            </w:r>
          </w:p>
        </w:tc>
      </w:tr>
      <w:tr>
        <w:tc>
          <w:tcPr>
            <w:tcW w:type="dxa" w:w="3120"/>
          </w:tcPr>
          <w:p>
            <w:r>
              <w:t>total_school_days</w:t>
            </w:r>
          </w:p>
        </w:tc>
        <w:tc>
          <w:tcPr>
            <w:tcW w:type="dxa" w:w="3120"/>
          </w:tcPr>
          <w:p>
            <w:r>
              <w:t>School days available during a term</w:t>
            </w:r>
          </w:p>
        </w:tc>
        <w:tc>
          <w:tcPr>
            <w:tcW w:type="dxa" w:w="3120"/>
          </w:tcPr>
          <w:p>
            <w:r>
              <w:t>Attendance input</w:t>
            </w:r>
          </w:p>
        </w:tc>
      </w:tr>
      <w:tr>
        <w:tc>
          <w:tcPr>
            <w:tcW w:type="dxa" w:w="3120"/>
          </w:tcPr>
          <w:p>
            <w:r>
              <w:t>attendance_rate_%</w:t>
            </w:r>
          </w:p>
        </w:tc>
        <w:tc>
          <w:tcPr>
            <w:tcW w:type="dxa" w:w="3120"/>
          </w:tcPr>
          <w:p>
            <w:r>
              <w:t>Attendance percentage</w:t>
            </w:r>
          </w:p>
        </w:tc>
        <w:tc>
          <w:tcPr>
            <w:tcW w:type="dxa" w:w="3120"/>
          </w:tcPr>
          <w:p>
            <w:r>
              <w:t>Attendance input</w:t>
            </w:r>
          </w:p>
        </w:tc>
      </w:tr>
      <w:tr>
        <w:tc>
          <w:tcPr>
            <w:tcW w:type="dxa" w:w="3120"/>
          </w:tcPr>
          <w:p>
            <w:r>
              <w:t>Subject scores</w:t>
            </w:r>
          </w:p>
        </w:tc>
        <w:tc>
          <w:tcPr>
            <w:tcW w:type="dxa" w:w="3120"/>
          </w:tcPr>
          <w:p>
            <w:r>
              <w:t>Mathematics, English, Science and Social Studies</w:t>
            </w:r>
          </w:p>
        </w:tc>
        <w:tc>
          <w:tcPr>
            <w:tcW w:type="dxa" w:w="3120"/>
          </w:tcPr>
          <w:p>
            <w:r>
              <w:t>Target construction</w:t>
            </w:r>
          </w:p>
        </w:tc>
      </w:tr>
      <w:tr>
        <w:tc>
          <w:tcPr>
            <w:tcW w:type="dxa" w:w="3120"/>
          </w:tcPr>
          <w:p>
            <w:r>
              <w:t>overall_average_score</w:t>
            </w:r>
          </w:p>
        </w:tc>
        <w:tc>
          <w:tcPr>
            <w:tcW w:type="dxa" w:w="3120"/>
          </w:tcPr>
          <w:p>
            <w:r>
              <w:t>Overall academic-performance score</w:t>
            </w:r>
          </w:p>
        </w:tc>
        <w:tc>
          <w:tcPr>
            <w:tcW w:type="dxa" w:w="3120"/>
          </w:tcPr>
          <w:p>
            <w:r>
              <w:t>Primary target</w:t>
            </w:r>
          </w:p>
        </w:tc>
      </w:tr>
      <w:tr>
        <w:tc>
          <w:tcPr>
            <w:tcW w:type="dxa" w:w="3120"/>
          </w:tcPr>
          <w:p>
            <w:r>
              <w:t>at_risk</w:t>
            </w:r>
          </w:p>
        </w:tc>
        <w:tc>
          <w:tcPr>
            <w:tcW w:type="dxa" w:w="3120"/>
          </w:tcPr>
          <w:p>
            <w:r>
              <w:t>1 if score &lt; 50; otherwise 0</w:t>
            </w:r>
          </w:p>
        </w:tc>
        <w:tc>
          <w:tcPr>
            <w:tcW w:type="dxa" w:w="3120"/>
          </w:tcPr>
          <w:p>
            <w:r>
              <w:t>Secondary target</w:t>
            </w:r>
          </w:p>
        </w:tc>
      </w:tr>
    </w:tbl>
    <w:p>
      <w:pPr>
        <w:pStyle w:val="Heading1"/>
      </w:pPr>
      <w:r>
        <w:t>3.3 Hybrid Data Fusion Strategy</w:t>
      </w:r>
    </w:p>
    <w:p>
      <w:r>
        <w:t>Data fusion was performed at the student-year level by integrating the three term observations within each academic year. Attendance and academic information from the corresponding term sheets were linked using the verified student-year identifier and consolidated into a single analytical record for each student-year.</w:t>
      </w:r>
    </w:p>
    <w:p>
      <w:r>
        <w:t>The resulting dataset contained 800 validated student-year observations, consisting of 400 observations for 2022–2023 and 400 for 2023–2024. The fusion process also supported the secondary temporal attendance analysis by retaining access to the three term-specific attendance rates before calculating the attendance-decay feature.</w:t>
      </w:r>
    </w:p>
    <w:p>
      <w:pPr>
        <w:pStyle w:val="Heading1"/>
      </w:pPr>
      <w:r>
        <w:t>3.4 Ethical Compliance and Data Governance</w:t>
      </w:r>
    </w:p>
    <w:p>
      <w:r>
        <w:t>The study involved academic, attendance and demographic information obtained from school records. Student names were not used in the analytical dataset; anonymised study identifiers were used for record linkage and analysis. The analysis was designed to report aggregate patterns and subgroup-level results rather than identifiable student information.</w:t>
      </w:r>
    </w:p>
    <w:p>
      <w:r>
        <w:t>Ethical clearance and institutional authorisation were treated as prerequisites for data collection and analysis. The final thesis should insert the official HUSSREC reference number and any institutional approval details exactly as stated on the approved documentation; no approval number is invented in this chapter.</w:t>
      </w:r>
    </w:p>
    <w:p>
      <w:r>
        <w:t>Raw and processed student datasets were excluded from version control through the project's .gitignore configuration.</w:t>
      </w:r>
    </w:p>
    <w:p>
      <w:pPr>
        <w:pStyle w:val="Heading1"/>
      </w:pPr>
      <w:r>
        <w:t>3.5 Data Preprocessing Pipeline</w:t>
      </w:r>
    </w:p>
    <w:p>
      <w:r>
        <w:t>Preprocessing followed a controlled sequence of duplicate and identifier checks, missingness assessment, term-level aggregation, target construction, leakage control and categorical encoding.</w:t>
      </w:r>
    </w:p>
    <w:p>
      <w:r>
        <w:t>The data-quality audit identified systematic missingness in some Term 3 academic-score fields for JHS3 students because those students had completed JHS before the end of the term. These observations were therefore interpreted in their institutional context rather than treated as ordinary random missing observations.</w:t>
      </w:r>
    </w:p>
    <w:p>
      <w:r>
        <w:t>Variables that were completely unavailable across the term sheets, including score_rme_other and distance_km, were excluded from modelling. The subject-score aggregates avg_mathematics, avg_english and avg_science_social were also excluded from the primary predictor matrix because they contributed directly to construction of the overall academic performance target and would introduce target leakage.</w:t>
      </w:r>
    </w:p>
    <w:p>
      <w:r>
        <w:t>For the primary modelling task, class_level, academic_year and gender were one-hot encoded. Together with age_years, avg_days_present, avg_total_school_days and avg_attendance_rate, this produced 11 numerical predictor columns. The prepared modelling data contained no missing values among the final predictors or target.</w:t>
      </w:r>
    </w:p>
    <w:p>
      <w:pPr>
        <w:pStyle w:val="Heading1"/>
      </w:pPr>
      <w:r>
        <w:t>3.6 Feature Engineering</w:t>
      </w:r>
    </w:p>
    <w:p>
      <w:r>
        <w:t>The principal engineered feature was a temporal attendance-decay measure for the secondary at-risk classification analysis. The purpose was to give greater influence to more recent attendance behaviour while retaining information from earlier terms.</w:t>
      </w:r>
    </w:p>
    <w:p>
      <w:r>
        <w:t>The feature was defined as:</w:t>
      </w:r>
    </w:p>
    <w:p>
      <w:pPr>
        <w:jc w:val="center"/>
      </w:pPr>
      <w:r>
        <w:rPr>
          <w:i/>
        </w:rPr>
        <w:t>attendance_decay = Σ(wₜ × attendance_rateₜ),    wₜ ∝ exp(λ(t − T))</w:t>
      </w:r>
    </w:p>
    <w:p>
      <w:r>
        <w:t>A decay parameter of λ = 0.5 was used. After normalisation, the Term 1, Term 2 and Term 3 weights were 0.186324, 0.307196 and 0.506480, respectively. Thus, the most recent term received the largest contribution.</w:t>
      </w:r>
    </w:p>
    <w:p>
      <w:r>
        <w:t>The feature was calculated from the six term-level attendance sheets and merged into the 800 student-year modelling records using verified student-year identifiers. All 800 student-year observations received a complete attendance-decay value.</w:t>
      </w:r>
    </w:p>
    <w:p>
      <w:pPr>
        <w:jc w:val="center"/>
      </w:pPr>
      <w:r>
        <w:t>Normalised term weights: Term 1 = 0.186324; Term 2 = 0.307196; Term 3 = 0.506480.</w:t>
      </w:r>
    </w:p>
    <w:p>
      <w:pPr>
        <w:jc w:val="center"/>
      </w:pPr>
      <w:r>
        <w:rPr>
          <w:i/>
        </w:rPr>
        <w:t>attendance_decay = Σ(wₜ × attendance_rateₜ),    wₜ ∝ exp(λ(t − T)),    λ = 0.5</w:t>
      </w:r>
    </w:p>
    <w:p>
      <w:pPr>
        <w:jc w:val="center"/>
      </w:pPr>
      <w:r>
        <w:rPr>
          <w:b/>
        </w:rPr>
        <w:t>Equation 3.1. Temporal attendance-decay formulation and normalised term weights.</w:t>
      </w:r>
    </w:p>
    <w:p>
      <w:pPr>
        <w:pStyle w:val="Heading1"/>
      </w:pPr>
      <w:r>
        <w:t>3.7 Baseline Model Specification</w:t>
      </w:r>
    </w:p>
    <w:p>
      <w:r>
        <w:t>The principal executed baseline models for the continuous academic-performance task were XGBoost and LightGBM. Both are gradient-boosting methods suitable for structured tabular data. The two learners were trained independently using the same prepared predictors and the same held-out evaluation design.</w:t>
      </w:r>
    </w:p>
    <w:p>
      <w:r>
        <w:t>For the secondary at-risk analysis, XGBoost and LightGBM were also trained as binary classifiers using the operational definition of At Risk (&lt;50) and Not At Risk (≥50).</w:t>
      </w:r>
    </w:p>
    <w:p>
      <w:r>
        <w:t>The final numerical comparison reported XGBoost, LightGBM and their weighted ensemble. No unexecuted baseline algorithm is presented as having generated final numerical results.</w:t>
      </w:r>
    </w:p>
    <w:p>
      <w:pPr>
        <w:pStyle w:val="Heading1"/>
      </w:pPr>
      <w:r>
        <w:t>3.8 Model Engineering Contribution (ONE operation only: Fabricate OR Modify OR Remove OR Replace)</w:t>
      </w:r>
    </w:p>
    <w:p>
      <w:r>
        <w:t>The single model-engineering operation claimed in this study is FABRICATE. The contribution was the fabrication of a temporal attendance-decay feature from the three term-level attendance rates. This operation transformed repeated attendance observations into a recency-sensitive representation for the secondary early-warning analysis.</w:t>
      </w:r>
    </w:p>
    <w:p>
      <w:r>
        <w:t>The fabricated feature was then supplied to the engineered classification workflow. The feature construction was deliberately separated from the primary regression predictor set so that the main academic-performance model remained based on the validated predictor definition.</w:t>
      </w:r>
    </w:p>
    <w:p>
      <w:pPr>
        <w:pStyle w:val="Heading1"/>
      </w:pPr>
      <w:r>
        <w:t>3.9 Training Configuration and Computing Environment</w:t>
      </w:r>
    </w:p>
    <w:p>
      <w:r>
        <w:t>The analysis was implemented in Python within a dedicated virtual environment. The workflow used Pandas for data manipulation, NumPy for numerical operations, scikit-learn for preprocessing and evaluation, XGBoost and LightGBM for predictive modelling, SHAP for explainability and Matplotlib for visualisation.</w:t>
      </w:r>
    </w:p>
    <w:p>
      <w:r>
        <w:t>A fixed random state of 42 was used in the executed modelling workflow. The executed SHAP XGBoost configuration used 300 estimators, maximum tree depth of 4, learning rate of 0.05, subsample of 0.8 and colsample_bytree of 0.8.</w:t>
      </w:r>
    </w:p>
    <w:p>
      <w:r>
        <w:t>For the engineered classification experiment, the data were divided into training, validation and testing subsets containing 512, 128 and 160 observations, respectively. The independent test subset was reserved for final performance reporting.</w:t>
      </w:r>
    </w:p>
    <w:p>
      <w:pPr>
        <w:jc w:val="center"/>
      </w:pPr>
      <w:r>
        <w:rPr>
          <w:b/>
        </w:rPr>
        <w:t>Table 3.2. Key executed modelling and feature-engineering settings.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Component</w:t>
            </w:r>
          </w:p>
        </w:tc>
        <w:tc>
          <w:tcPr>
            <w:tcW w:type="dxa" w:w="3120"/>
          </w:tcPr>
          <w:p>
            <w:r>
              <w:rPr>
                <w:b/>
              </w:rPr>
              <w:t>Parameter / setting</w:t>
            </w:r>
          </w:p>
        </w:tc>
        <w:tc>
          <w:tcPr>
            <w:tcW w:type="dxa" w:w="3120"/>
          </w:tcPr>
          <w:p>
            <w:r>
              <w:rPr>
                <w:b/>
              </w:rPr>
              <w:t>Value used</w:t>
            </w:r>
          </w:p>
        </w:tc>
      </w:tr>
      <w:tr>
        <w:tc>
          <w:tcPr>
            <w:tcW w:type="dxa" w:w="3120"/>
          </w:tcPr>
          <w:p>
            <w:r>
              <w:t>XGBoost SHAP model</w:t>
            </w:r>
          </w:p>
        </w:tc>
        <w:tc>
          <w:tcPr>
            <w:tcW w:type="dxa" w:w="3120"/>
          </w:tcPr>
          <w:p>
            <w:r>
              <w:t>n_estimators</w:t>
            </w:r>
          </w:p>
        </w:tc>
        <w:tc>
          <w:tcPr>
            <w:tcW w:type="dxa" w:w="3120"/>
          </w:tcPr>
          <w:p>
            <w:r>
              <w:t>300</w:t>
            </w:r>
          </w:p>
        </w:tc>
      </w:tr>
      <w:tr>
        <w:tc>
          <w:tcPr>
            <w:tcW w:type="dxa" w:w="3120"/>
          </w:tcPr>
          <w:p>
            <w:r>
              <w:t>XGBoost SHAP model</w:t>
            </w:r>
          </w:p>
        </w:tc>
        <w:tc>
          <w:tcPr>
            <w:tcW w:type="dxa" w:w="3120"/>
          </w:tcPr>
          <w:p>
            <w:r>
              <w:t>max_depth</w:t>
            </w:r>
          </w:p>
        </w:tc>
        <w:tc>
          <w:tcPr>
            <w:tcW w:type="dxa" w:w="3120"/>
          </w:tcPr>
          <w:p>
            <w:r>
              <w:t>4</w:t>
            </w:r>
          </w:p>
        </w:tc>
      </w:tr>
      <w:tr>
        <w:tc>
          <w:tcPr>
            <w:tcW w:type="dxa" w:w="3120"/>
          </w:tcPr>
          <w:p>
            <w:r>
              <w:t>XGBoost SHAP model</w:t>
            </w:r>
          </w:p>
        </w:tc>
        <w:tc>
          <w:tcPr>
            <w:tcW w:type="dxa" w:w="3120"/>
          </w:tcPr>
          <w:p>
            <w:r>
              <w:t>learning_rate</w:t>
            </w:r>
          </w:p>
        </w:tc>
        <w:tc>
          <w:tcPr>
            <w:tcW w:type="dxa" w:w="3120"/>
          </w:tcPr>
          <w:p>
            <w:r>
              <w:t>0.05</w:t>
            </w:r>
          </w:p>
        </w:tc>
      </w:tr>
      <w:tr>
        <w:tc>
          <w:tcPr>
            <w:tcW w:type="dxa" w:w="3120"/>
          </w:tcPr>
          <w:p>
            <w:r>
              <w:t>XGBoost SHAP model</w:t>
            </w:r>
          </w:p>
        </w:tc>
        <w:tc>
          <w:tcPr>
            <w:tcW w:type="dxa" w:w="3120"/>
          </w:tcPr>
          <w:p>
            <w:r>
              <w:t>subsample</w:t>
            </w:r>
          </w:p>
        </w:tc>
        <w:tc>
          <w:tcPr>
            <w:tcW w:type="dxa" w:w="3120"/>
          </w:tcPr>
          <w:p>
            <w:r>
              <w:t>0.8</w:t>
            </w:r>
          </w:p>
        </w:tc>
      </w:tr>
      <w:tr>
        <w:tc>
          <w:tcPr>
            <w:tcW w:type="dxa" w:w="3120"/>
          </w:tcPr>
          <w:p>
            <w:r>
              <w:t>XGBoost SHAP model</w:t>
            </w:r>
          </w:p>
        </w:tc>
        <w:tc>
          <w:tcPr>
            <w:tcW w:type="dxa" w:w="3120"/>
          </w:tcPr>
          <w:p>
            <w:r>
              <w:t>colsample_bytree</w:t>
            </w:r>
          </w:p>
        </w:tc>
        <w:tc>
          <w:tcPr>
            <w:tcW w:type="dxa" w:w="3120"/>
          </w:tcPr>
          <w:p>
            <w:r>
              <w:t>0.8</w:t>
            </w:r>
          </w:p>
        </w:tc>
      </w:tr>
      <w:tr>
        <w:tc>
          <w:tcPr>
            <w:tcW w:type="dxa" w:w="3120"/>
          </w:tcPr>
          <w:p>
            <w:r>
              <w:t>Randomisation</w:t>
            </w:r>
          </w:p>
        </w:tc>
        <w:tc>
          <w:tcPr>
            <w:tcW w:type="dxa" w:w="3120"/>
          </w:tcPr>
          <w:p>
            <w:r>
              <w:t>random_state</w:t>
            </w:r>
          </w:p>
        </w:tc>
        <w:tc>
          <w:tcPr>
            <w:tcW w:type="dxa" w:w="3120"/>
          </w:tcPr>
          <w:p>
            <w:r>
              <w:t>42</w:t>
            </w:r>
          </w:p>
        </w:tc>
      </w:tr>
      <w:tr>
        <w:tc>
          <w:tcPr>
            <w:tcW w:type="dxa" w:w="3120"/>
          </w:tcPr>
          <w:p>
            <w:r>
              <w:t>Attendance decay</w:t>
            </w:r>
          </w:p>
        </w:tc>
        <w:tc>
          <w:tcPr>
            <w:tcW w:type="dxa" w:w="3120"/>
          </w:tcPr>
          <w:p>
            <w:r>
              <w:t>λ</w:t>
            </w:r>
          </w:p>
        </w:tc>
        <w:tc>
          <w:tcPr>
            <w:tcW w:type="dxa" w:w="3120"/>
          </w:tcPr>
          <w:p>
            <w:r>
              <w:t>0.5</w:t>
            </w:r>
          </w:p>
        </w:tc>
      </w:tr>
      <w:tr>
        <w:tc>
          <w:tcPr>
            <w:tcW w:type="dxa" w:w="3120"/>
          </w:tcPr>
          <w:p>
            <w:r>
              <w:t>Primary ensemble</w:t>
            </w:r>
          </w:p>
        </w:tc>
        <w:tc>
          <w:tcPr>
            <w:tcW w:type="dxa" w:w="3120"/>
          </w:tcPr>
          <w:p>
            <w:r>
              <w:t>XGBoost:LightGBM</w:t>
            </w:r>
          </w:p>
        </w:tc>
        <w:tc>
          <w:tcPr>
            <w:tcW w:type="dxa" w:w="3120"/>
          </w:tcPr>
          <w:p>
            <w:r>
              <w:t>50:50</w:t>
            </w:r>
          </w:p>
        </w:tc>
      </w:tr>
      <w:tr>
        <w:tc>
          <w:tcPr>
            <w:tcW w:type="dxa" w:w="3120"/>
          </w:tcPr>
          <w:p>
            <w:r>
              <w:t>Classification fusion</w:t>
            </w:r>
          </w:p>
        </w:tc>
        <w:tc>
          <w:tcPr>
            <w:tcW w:type="dxa" w:w="3120"/>
          </w:tcPr>
          <w:p>
            <w:r>
              <w:t>JHS1 XGBoost:LightGBM</w:t>
            </w:r>
          </w:p>
        </w:tc>
        <w:tc>
          <w:tcPr>
            <w:tcW w:type="dxa" w:w="3120"/>
          </w:tcPr>
          <w:p>
            <w:r>
              <w:t>0.5403:0.4597</w:t>
            </w:r>
          </w:p>
        </w:tc>
      </w:tr>
      <w:tr>
        <w:tc>
          <w:tcPr>
            <w:tcW w:type="dxa" w:w="3120"/>
          </w:tcPr>
          <w:p>
            <w:r>
              <w:t>Classification fusion</w:t>
            </w:r>
          </w:p>
        </w:tc>
        <w:tc>
          <w:tcPr>
            <w:tcW w:type="dxa" w:w="3120"/>
          </w:tcPr>
          <w:p>
            <w:r>
              <w:t>JHS2 XGBoost:LightGBM</w:t>
            </w:r>
          </w:p>
        </w:tc>
        <w:tc>
          <w:tcPr>
            <w:tcW w:type="dxa" w:w="3120"/>
          </w:tcPr>
          <w:p>
            <w:r>
              <w:t>0.5600:0.4400</w:t>
            </w:r>
          </w:p>
        </w:tc>
      </w:tr>
      <w:tr>
        <w:tc>
          <w:tcPr>
            <w:tcW w:type="dxa" w:w="3120"/>
          </w:tcPr>
          <w:p>
            <w:r>
              <w:t>Classification fusion</w:t>
            </w:r>
          </w:p>
        </w:tc>
        <w:tc>
          <w:tcPr>
            <w:tcW w:type="dxa" w:w="3120"/>
          </w:tcPr>
          <w:p>
            <w:r>
              <w:t>JHS3 XGBoost:LightGBM</w:t>
            </w:r>
          </w:p>
        </w:tc>
        <w:tc>
          <w:tcPr>
            <w:tcW w:type="dxa" w:w="3120"/>
          </w:tcPr>
          <w:p>
            <w:r>
              <w:t>0.5000:0.5000</w:t>
            </w:r>
          </w:p>
        </w:tc>
      </w:tr>
    </w:tbl>
    <w:p>
      <w:pPr>
        <w:pStyle w:val="Heading1"/>
      </w:pPr>
      <w:r>
        <w:t>3.10 Experimental Design and Reproducibility Controls</w:t>
      </w:r>
    </w:p>
    <w:p>
      <w:r>
        <w:t>The primary continuous-performance experiment used an 80:20 hold-out partition, producing 640 training observations and 160 independent test observations. XGBoost and LightGBM were trained on the same training data and evaluated on the same test data. Seven ensemble weighting configurations (20:80 through 80:20) were evaluated, with the 50:50 weighting selected for the final primary ensemble.</w:t>
      </w:r>
    </w:p>
    <w:p>
      <w:r>
        <w:t>The secondary classification experiment used a three-way 512/128/160 train-validation-test partition. Validation-derived class-sensitive fusion weights were used for the engineered classification variant. The final reported XGBoost/LightGBM weights were 0.5403/0.4597 for JHS1, 0.5600/0.4400 for JHS2 and 0.5000/0.5000 for JHS3.</w:t>
      </w:r>
    </w:p>
    <w:p>
      <w:r>
        <w:t>Reproducibility was supported through fixed random seeds, fixed executed configurations, sequential scripts, explicit data-processing stages and version control through GitHub. The completed primary experiment used a single hold-out split; repeated cross-validation was not generated in the completed pipeline and is therefore not represented as an executed result.</w:t>
      </w:r>
    </w:p>
    <w:p>
      <w:pPr>
        <w:jc w:val="center"/>
      </w:pPr>
      <w:r>
        <w:rPr>
          <w:b/>
        </w:rPr>
        <w:t>Table 3.3. Primary train/test partition and secondary classification partition.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Experiment</w:t>
            </w:r>
          </w:p>
        </w:tc>
        <w:tc>
          <w:tcPr>
            <w:tcW w:type="dxa" w:w="1872"/>
          </w:tcPr>
          <w:p>
            <w:r>
              <w:rPr>
                <w:b/>
              </w:rPr>
              <w:t>Partition</w:t>
            </w:r>
          </w:p>
        </w:tc>
        <w:tc>
          <w:tcPr>
            <w:tcW w:type="dxa" w:w="1872"/>
          </w:tcPr>
          <w:p>
            <w:r>
              <w:rPr>
                <w:b/>
              </w:rPr>
              <w:t>Training</w:t>
            </w:r>
          </w:p>
        </w:tc>
        <w:tc>
          <w:tcPr>
            <w:tcW w:type="dxa" w:w="1872"/>
          </w:tcPr>
          <w:p>
            <w:r>
              <w:rPr>
                <w:b/>
              </w:rPr>
              <w:t>Validation</w:t>
            </w:r>
          </w:p>
        </w:tc>
        <w:tc>
          <w:tcPr>
            <w:tcW w:type="dxa" w:w="1872"/>
          </w:tcPr>
          <w:p>
            <w:r>
              <w:rPr>
                <w:b/>
              </w:rPr>
              <w:t>Testing</w:t>
            </w:r>
          </w:p>
        </w:tc>
      </w:tr>
      <w:tr>
        <w:tc>
          <w:tcPr>
            <w:tcW w:type="dxa" w:w="1872"/>
          </w:tcPr>
          <w:p>
            <w:r>
              <w:t>Primary regression</w:t>
            </w:r>
          </w:p>
        </w:tc>
        <w:tc>
          <w:tcPr>
            <w:tcW w:type="dxa" w:w="1872"/>
          </w:tcPr>
          <w:p>
            <w:r>
              <w:t>80:20 hold-out</w:t>
            </w:r>
          </w:p>
        </w:tc>
        <w:tc>
          <w:tcPr>
            <w:tcW w:type="dxa" w:w="1872"/>
          </w:tcPr>
          <w:p>
            <w:r>
              <w:t>640</w:t>
            </w:r>
          </w:p>
        </w:tc>
        <w:tc>
          <w:tcPr>
            <w:tcW w:type="dxa" w:w="1872"/>
          </w:tcPr>
          <w:p>
            <w:r>
              <w:t>—</w:t>
            </w:r>
          </w:p>
        </w:tc>
        <w:tc>
          <w:tcPr>
            <w:tcW w:type="dxa" w:w="1872"/>
          </w:tcPr>
          <w:p>
            <w:r>
              <w:t>160</w:t>
            </w:r>
          </w:p>
        </w:tc>
      </w:tr>
      <w:tr>
        <w:tc>
          <w:tcPr>
            <w:tcW w:type="dxa" w:w="1872"/>
          </w:tcPr>
          <w:p>
            <w:r>
              <w:t>Secondary classification</w:t>
            </w:r>
          </w:p>
        </w:tc>
        <w:tc>
          <w:tcPr>
            <w:tcW w:type="dxa" w:w="1872"/>
          </w:tcPr>
          <w:p>
            <w:r>
              <w:t>Three-way split</w:t>
            </w:r>
          </w:p>
        </w:tc>
        <w:tc>
          <w:tcPr>
            <w:tcW w:type="dxa" w:w="1872"/>
          </w:tcPr>
          <w:p>
            <w:r>
              <w:t>512</w:t>
            </w:r>
          </w:p>
        </w:tc>
        <w:tc>
          <w:tcPr>
            <w:tcW w:type="dxa" w:w="1872"/>
          </w:tcPr>
          <w:p>
            <w:r>
              <w:t>128</w:t>
            </w:r>
          </w:p>
        </w:tc>
        <w:tc>
          <w:tcPr>
            <w:tcW w:type="dxa" w:w="1872"/>
          </w:tcPr>
          <w:p>
            <w:r>
              <w:t>160</w:t>
            </w:r>
          </w:p>
        </w:tc>
      </w:tr>
    </w:tbl>
    <w:p>
      <w:pPr>
        <w:pStyle w:val="Heading1"/>
      </w:pPr>
      <w:r>
        <w:t>3.11 Evaluation Metrics</w:t>
      </w:r>
    </w:p>
    <w:p>
      <w:r>
        <w:t>For continuous academic-performance prediction, Mean Absolute Error (MAE), Root Mean Square Error (RMSE) and R² were used. Lower MAE and RMSE indicate smaller prediction errors, while higher R² indicates a greater proportion of outcome variance explained by the model.</w:t>
      </w:r>
    </w:p>
    <w:p>
      <w:r>
        <w:t>For the secondary classification analysis, accuracy, precision, recall/True Positive Rate (TPR), Macro-F1, AUC-ROC, AUC-PR and Brier score were reported. Confusion-matrix components (TN, FP, FN and TP) were also retained for subgroup error analysis.</w:t>
      </w:r>
    </w:p>
    <w:p>
      <w:pPr>
        <w:jc w:val="center"/>
      </w:pPr>
      <w:r>
        <w:rPr>
          <w:b/>
        </w:rPr>
        <w:t>Table 3.4. Definitions of regression and classification evaluation metrics.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Definition</w:t>
            </w:r>
          </w:p>
        </w:tc>
        <w:tc>
          <w:tcPr>
            <w:tcW w:type="dxa" w:w="3120"/>
          </w:tcPr>
          <w:p>
            <w:r>
              <w:rPr>
                <w:b/>
              </w:rPr>
              <w:t>Preferred direction</w:t>
            </w:r>
          </w:p>
        </w:tc>
      </w:tr>
      <w:tr>
        <w:tc>
          <w:tcPr>
            <w:tcW w:type="dxa" w:w="3120"/>
          </w:tcPr>
          <w:p>
            <w:r>
              <w:t>MAE</w:t>
            </w:r>
          </w:p>
        </w:tc>
        <w:tc>
          <w:tcPr>
            <w:tcW w:type="dxa" w:w="3120"/>
          </w:tcPr>
          <w:p>
            <w:r>
              <w:t>Mean absolute prediction error</w:t>
            </w:r>
          </w:p>
        </w:tc>
        <w:tc>
          <w:tcPr>
            <w:tcW w:type="dxa" w:w="3120"/>
          </w:tcPr>
          <w:p>
            <w:r>
              <w:t>Lower is better</w:t>
            </w:r>
          </w:p>
        </w:tc>
      </w:tr>
      <w:tr>
        <w:tc>
          <w:tcPr>
            <w:tcW w:type="dxa" w:w="3120"/>
          </w:tcPr>
          <w:p>
            <w:r>
              <w:t>RMSE</w:t>
            </w:r>
          </w:p>
        </w:tc>
        <w:tc>
          <w:tcPr>
            <w:tcW w:type="dxa" w:w="3120"/>
          </w:tcPr>
          <w:p>
            <w:r>
              <w:t>Root mean square prediction error</w:t>
            </w:r>
          </w:p>
        </w:tc>
        <w:tc>
          <w:tcPr>
            <w:tcW w:type="dxa" w:w="3120"/>
          </w:tcPr>
          <w:p>
            <w:r>
              <w:t>Lower is better</w:t>
            </w:r>
          </w:p>
        </w:tc>
      </w:tr>
      <w:tr>
        <w:tc>
          <w:tcPr>
            <w:tcW w:type="dxa" w:w="3120"/>
          </w:tcPr>
          <w:p>
            <w:r>
              <w:t>R²</w:t>
            </w:r>
          </w:p>
        </w:tc>
        <w:tc>
          <w:tcPr>
            <w:tcW w:type="dxa" w:w="3120"/>
          </w:tcPr>
          <w:p>
            <w:r>
              <w:t>Proportion of target variation explained</w:t>
            </w:r>
          </w:p>
        </w:tc>
        <w:tc>
          <w:tcPr>
            <w:tcW w:type="dxa" w:w="3120"/>
          </w:tcPr>
          <w:p>
            <w:r>
              <w:t>Higher is better</w:t>
            </w:r>
          </w:p>
        </w:tc>
      </w:tr>
      <w:tr>
        <w:tc>
          <w:tcPr>
            <w:tcW w:type="dxa" w:w="3120"/>
          </w:tcPr>
          <w:p>
            <w:r>
              <w:t>Accuracy</w:t>
            </w:r>
          </w:p>
        </w:tc>
        <w:tc>
          <w:tcPr>
            <w:tcW w:type="dxa" w:w="3120"/>
          </w:tcPr>
          <w:p>
            <w:r>
              <w:t>Correct classifications divided by all classifications</w:t>
            </w:r>
          </w:p>
        </w:tc>
        <w:tc>
          <w:tcPr>
            <w:tcW w:type="dxa" w:w="3120"/>
          </w:tcPr>
          <w:p>
            <w:r>
              <w:t>Higher is better</w:t>
            </w:r>
          </w:p>
        </w:tc>
      </w:tr>
      <w:tr>
        <w:tc>
          <w:tcPr>
            <w:tcW w:type="dxa" w:w="3120"/>
          </w:tcPr>
          <w:p>
            <w:r>
              <w:t>Precision</w:t>
            </w:r>
          </w:p>
        </w:tc>
        <w:tc>
          <w:tcPr>
            <w:tcW w:type="dxa" w:w="3120"/>
          </w:tcPr>
          <w:p>
            <w:r>
              <w:t>Correct positive predictions among predicted positives</w:t>
            </w:r>
          </w:p>
        </w:tc>
        <w:tc>
          <w:tcPr>
            <w:tcW w:type="dxa" w:w="3120"/>
          </w:tcPr>
          <w:p>
            <w:r>
              <w:t>Higher is better</w:t>
            </w:r>
          </w:p>
        </w:tc>
      </w:tr>
      <w:tr>
        <w:tc>
          <w:tcPr>
            <w:tcW w:type="dxa" w:w="3120"/>
          </w:tcPr>
          <w:p>
            <w:r>
              <w:t>Recall / TPR</w:t>
            </w:r>
          </w:p>
        </w:tc>
        <w:tc>
          <w:tcPr>
            <w:tcW w:type="dxa" w:w="3120"/>
          </w:tcPr>
          <w:p>
            <w:r>
              <w:t>Actual positives correctly identified</w:t>
            </w:r>
          </w:p>
        </w:tc>
        <w:tc>
          <w:tcPr>
            <w:tcW w:type="dxa" w:w="3120"/>
          </w:tcPr>
          <w:p>
            <w:r>
              <w:t>Higher is better</w:t>
            </w:r>
          </w:p>
        </w:tc>
      </w:tr>
      <w:tr>
        <w:tc>
          <w:tcPr>
            <w:tcW w:type="dxa" w:w="3120"/>
          </w:tcPr>
          <w:p>
            <w:r>
              <w:t>Macro-F1</w:t>
            </w:r>
          </w:p>
        </w:tc>
        <w:tc>
          <w:tcPr>
            <w:tcW w:type="dxa" w:w="3120"/>
          </w:tcPr>
          <w:p>
            <w:r>
              <w:t>Average F1 across classes</w:t>
            </w:r>
          </w:p>
        </w:tc>
        <w:tc>
          <w:tcPr>
            <w:tcW w:type="dxa" w:w="3120"/>
          </w:tcPr>
          <w:p>
            <w:r>
              <w:t>Higher is better</w:t>
            </w:r>
          </w:p>
        </w:tc>
      </w:tr>
      <w:tr>
        <w:tc>
          <w:tcPr>
            <w:tcW w:type="dxa" w:w="3120"/>
          </w:tcPr>
          <w:p>
            <w:r>
              <w:t>AUC-ROC</w:t>
            </w:r>
          </w:p>
        </w:tc>
        <w:tc>
          <w:tcPr>
            <w:tcW w:type="dxa" w:w="3120"/>
          </w:tcPr>
          <w:p>
            <w:r>
              <w:t>Area under the ROC curve</w:t>
            </w:r>
          </w:p>
        </w:tc>
        <w:tc>
          <w:tcPr>
            <w:tcW w:type="dxa" w:w="3120"/>
          </w:tcPr>
          <w:p>
            <w:r>
              <w:t>Higher is better</w:t>
            </w:r>
          </w:p>
        </w:tc>
      </w:tr>
      <w:tr>
        <w:tc>
          <w:tcPr>
            <w:tcW w:type="dxa" w:w="3120"/>
          </w:tcPr>
          <w:p>
            <w:r>
              <w:t>AUC-PR</w:t>
            </w:r>
          </w:p>
        </w:tc>
        <w:tc>
          <w:tcPr>
            <w:tcW w:type="dxa" w:w="3120"/>
          </w:tcPr>
          <w:p>
            <w:r>
              <w:t>Area under the precision-recall curve</w:t>
            </w:r>
          </w:p>
        </w:tc>
        <w:tc>
          <w:tcPr>
            <w:tcW w:type="dxa" w:w="3120"/>
          </w:tcPr>
          <w:p>
            <w:r>
              <w:t>Higher is better</w:t>
            </w:r>
          </w:p>
        </w:tc>
      </w:tr>
      <w:tr>
        <w:tc>
          <w:tcPr>
            <w:tcW w:type="dxa" w:w="3120"/>
          </w:tcPr>
          <w:p>
            <w:r>
              <w:t>Brier score</w:t>
            </w:r>
          </w:p>
        </w:tc>
        <w:tc>
          <w:tcPr>
            <w:tcW w:type="dxa" w:w="3120"/>
          </w:tcPr>
          <w:p>
            <w:r>
              <w:t>Mean squared error of probabilistic predictions</w:t>
            </w:r>
          </w:p>
        </w:tc>
        <w:tc>
          <w:tcPr>
            <w:tcW w:type="dxa" w:w="3120"/>
          </w:tcPr>
          <w:p>
            <w:r>
              <w:t>Lower is better</w:t>
            </w:r>
          </w:p>
        </w:tc>
      </w:tr>
      <w:tr>
        <w:tc>
          <w:tcPr>
            <w:tcW w:type="dxa" w:w="3120"/>
          </w:tcPr>
          <w:p>
            <w:r>
              <w:t>FPR</w:t>
            </w:r>
          </w:p>
        </w:tc>
        <w:tc>
          <w:tcPr>
            <w:tcW w:type="dxa" w:w="3120"/>
          </w:tcPr>
          <w:p>
            <w:r>
              <w:t>False positives among actual negatives</w:t>
            </w:r>
          </w:p>
        </w:tc>
        <w:tc>
          <w:tcPr>
            <w:tcW w:type="dxa" w:w="3120"/>
          </w:tcPr>
          <w:p>
            <w:r>
              <w:t>Lower is better</w:t>
            </w:r>
          </w:p>
        </w:tc>
      </w:tr>
    </w:tbl>
    <w:p>
      <w:pPr>
        <w:pStyle w:val="Heading1"/>
      </w:pPr>
      <w:r>
        <w:t>3.12 Statistical Analysis</w:t>
      </w:r>
    </w:p>
    <w:p>
      <w:r>
        <w:t>Statistical analysis comprised descriptive summaries of the modelling dataset, model performance comparison and subgroup disparity calculations. For the primary regression analysis, MAE, RMSE and R² were compared across XGBoost, LightGBM and the 50:50 ensemble.</w:t>
      </w:r>
    </w:p>
    <w:p>
      <w:r>
        <w:t>For subgroup analysis, performance measures were calculated separately for gender and class level. Descriptive fairness gaps were calculated as the difference between the maximum and minimum estimable subgroup values for the corresponding metric.</w:t>
      </w:r>
    </w:p>
    <w:p>
      <w:r>
        <w:t>The completed pipeline did not generate a formal inferential significance test such as a paired permutation test or statistical hypothesis test. Accordingly, this chapter does not claim statistical significance where no such test was executed.</w:t>
      </w:r>
    </w:p>
    <w:p>
      <w:pPr>
        <w:pStyle w:val="Heading1"/>
      </w:pPr>
      <w:r>
        <w:t>3.13 Ablation Study</w:t>
      </w:r>
    </w:p>
    <w:p>
      <w:r>
        <w:t>A formal standalone ablation experiment was not generated in the completed executed pipeline. Therefore, no fabricated ablation result is reported. The engineered temporal attendance-decay model was evaluated as a secondary extension of the classification workflow, but this should not be described as a completed controlled ablation unless a dedicated ablation run is subsequently executed.</w:t>
      </w:r>
    </w:p>
    <w:p>
      <w:r>
        <w:t>This distinction is maintained to preserve methodological accuracy and reproducibility: only analyses supported by executed scripts and recorded outputs are presented as completed experiments.</w:t>
      </w:r>
    </w:p>
    <w:p>
      <w:pPr>
        <w:pStyle w:val="Heading1"/>
      </w:pPr>
      <w:r>
        <w:t>3.14 Reproducibility and Open Science Artifacts</w:t>
      </w:r>
    </w:p>
    <w:p>
      <w:r>
        <w:t>The analysis scripts were version-controlled using Git and hosted in the project's GitHub repository. The repository contains the principal data-processing, modelling, ensemble, SHAP, fairness-analysis and results-generation scripts.</w:t>
      </w:r>
    </w:p>
    <w:p>
      <w:r>
        <w:rPr>
          <w:b/>
        </w:rPr>
        <w:t xml:space="preserve">GitHub repository: </w:t>
      </w:r>
      <w:hyperlink r:id="rId9">
        <w:r>
          <w:rPr>
            <w:color w:val="0563C1"/>
            <w:u w:val="single"/>
          </w:rPr>
          <w:t>https://github.com/generalh018-a11y/Ghana_JHS_Academic_Performance</w:t>
        </w:r>
      </w:hyperlink>
    </w:p>
    <w:p>
      <w:r>
        <w:t>Raw and processed student datasets were excluded from version control through the project's .gitignore configuration. Generated analytical outputs and figures are retained in the project workflow as reproducibility artifacts where appropriate.</w:t>
      </w:r>
    </w:p>
    <w:p>
      <w:pPr>
        <w:pStyle w:val="Heading1"/>
      </w:pPr>
      <w:r>
        <w:t>3.15 Required Figures and Tables Checklist</w:t>
      </w:r>
    </w:p>
    <w:p>
      <w:r>
        <w:t>The following items should be checked before final thesis submission:</w:t>
      </w:r>
    </w:p>
    <w:p>
      <w:pPr>
        <w:pStyle w:val="ListBullet"/>
      </w:pPr>
      <w:r>
        <w:t>Figure 3.1 — Overall study and modelling pipeline — INCLUDED.</w:t>
      </w:r>
    </w:p>
    <w:p>
      <w:pPr>
        <w:pStyle w:val="ListBullet"/>
      </w:pPr>
      <w:r>
        <w:t>Table 3.1 — Variables collected/captured and their analytical roles — INCLUDED.</w:t>
      </w:r>
    </w:p>
    <w:p>
      <w:pPr>
        <w:pStyle w:val="ListBullet"/>
      </w:pPr>
      <w:r>
        <w:t>Table 3.2 — Key executed modelling and feature-engineering settings — INCLUDED.</w:t>
      </w:r>
    </w:p>
    <w:p>
      <w:pPr>
        <w:pStyle w:val="ListBullet"/>
      </w:pPr>
      <w:r>
        <w:t>Table 3.3 — Primary train/test partition and secondary classification partition — INCLUDED.</w:t>
      </w:r>
    </w:p>
    <w:p>
      <w:pPr>
        <w:pStyle w:val="ListBullet"/>
      </w:pPr>
      <w:r>
        <w:t>Table 3.4 — Definitions of regression and classification evaluation metrics — INCLUDED.</w:t>
      </w:r>
    </w:p>
    <w:p>
      <w:pPr>
        <w:pStyle w:val="ListBullet"/>
      </w:pPr>
      <w:r>
        <w:t>Equation 3.1 — Temporal attendance-decay formulation and normalised term weights — INCLUDED.</w:t>
      </w:r>
    </w:p>
    <w:p>
      <w:pPr>
        <w:pStyle w:val="ListBullet"/>
      </w:pPr>
      <w:r>
        <w:t>Reproducibility item — GitHub repository and version-control statement — INCLUDED IN SECTION 3.14.</w:t>
      </w:r>
    </w:p>
    <w:p>
      <w:r>
        <w:t>All numerical tables and figures in the final thesis should be generated from the verified saved outputs in the project rather than manually re-entered values.</w:t>
      </w:r>
    </w:p>
    <w:p>
      <w:pPr>
        <w:pStyle w:val="Heading1"/>
      </w:pPr>
      <w:r>
        <w:t>3.16 Supervisor Verification Checklist</w:t>
      </w:r>
    </w:p>
    <w:p>
      <w:pPr>
        <w:pStyle w:val="ListBullet"/>
      </w:pPr>
      <w:r>
        <w:t>Confirm that the 16 Methods sections appear in exactly the prescribed order.</w:t>
      </w:r>
    </w:p>
    <w:p>
      <w:pPr>
        <w:pStyle w:val="ListBullet"/>
      </w:pPr>
      <w:r>
        <w:t>Confirm that the study setting and School A anonymisation are correctly stated.</w:t>
      </w:r>
    </w:p>
    <w:p>
      <w:pPr>
        <w:pStyle w:val="ListBullet"/>
      </w:pPr>
      <w:r>
        <w:t>Confirm the final analytical sample of 800 student-year observations and 2,400 term-level records.</w:t>
      </w:r>
    </w:p>
    <w:p>
      <w:pPr>
        <w:pStyle w:val="ListBullet"/>
      </w:pPr>
      <w:r>
        <w:t>Confirm the primary 80:20 regression partition (640 training, 160 test).</w:t>
      </w:r>
    </w:p>
    <w:p>
      <w:pPr>
        <w:pStyle w:val="ListBullet"/>
      </w:pPr>
      <w:r>
        <w:t>Confirm the secondary classification partition (512 training, 128 validation, 160 test).</w:t>
      </w:r>
    </w:p>
    <w:p>
      <w:pPr>
        <w:pStyle w:val="ListBullet"/>
      </w:pPr>
      <w:r>
        <w:t>Confirm that subject-score aggregates excluded from the primary predictor matrix are treated as target-leakage variables.</w:t>
      </w:r>
    </w:p>
    <w:p>
      <w:pPr>
        <w:pStyle w:val="ListBullet"/>
      </w:pPr>
      <w:r>
        <w:t>Confirm the temporal attendance-decay formulation and λ = 0.5 weights.</w:t>
      </w:r>
    </w:p>
    <w:p>
      <w:pPr>
        <w:pStyle w:val="ListBullet"/>
      </w:pPr>
      <w:r>
        <w:t>Confirm that the single model-engineering operation is identified as FABRICATE.</w:t>
      </w:r>
    </w:p>
    <w:p>
      <w:pPr>
        <w:pStyle w:val="ListBullet"/>
      </w:pPr>
      <w:r>
        <w:t>Confirm that no unexecuted cross-validation, significance test or ablation result is presented as completed.</w:t>
      </w:r>
    </w:p>
    <w:p>
      <w:pPr>
        <w:pStyle w:val="ListBullet"/>
      </w:pPr>
      <w:r>
        <w:t>Confirm the GitHub repository entry and .gitignore data-governance statement.</w:t>
      </w:r>
    </w:p>
    <w:p>
      <w:pPr>
        <w:pStyle w:val="ListBullet"/>
      </w:pPr>
      <w:r>
        <w:t>Insert the official HUSSREC and institutional approval/reference details from the approved documents.</w:t>
      </w:r>
    </w:p>
    <w:p>
      <w:pPr>
        <w:jc w:val="center"/>
      </w:pPr>
      <w:r>
        <w:rPr>
          <w:b/>
        </w:rPr>
        <w:t>END OF CHAPTER THREE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generalh018-a11y/Ghana_JHS_Academic_Performance" TargetMode="Externa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