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Daniel Kim</w:t>
      </w:r>
    </w:p>
    <w:p>
      <w:pPr>
        <w:jc w:val="center"/>
      </w:pPr>
      <w:r>
        <w:rPr>
          <w:rFonts w:ascii="Calibri" w:hAnsi="Calibri"/>
          <w:color w:val="555555"/>
          <w:sz w:val="40"/>
        </w:rPr>
        <w:t>Writing Voice Analysis</w:t>
      </w:r>
    </w:p>
    <w:p/>
    <w:p>
      <w:pPr>
        <w:jc w:val="center"/>
      </w:pPr>
      <w:r>
        <w:rPr>
          <w:rFonts w:ascii="Calibri" w:hAnsi="Calibri"/>
          <w:color w:val="888888"/>
          <w:sz w:val="24"/>
        </w:rPr>
        <w:t>March 2026</w:t>
      </w:r>
    </w:p>
    <w:p>
      <w:r>
        <w:br w:type="page"/>
      </w:r>
    </w:p>
    <w:p>
      <w:pPr>
        <w:pStyle w:val="Heading1"/>
      </w:pPr>
      <w:r>
        <w:t>Overall Description</w:t>
      </w:r>
    </w:p>
    <w:p>
      <w:r>
        <w:t>Across all three categories, a single writer is clearly recognizable. Daniel writes with conviction and emotional directness. He is not a writer who dances around a point — he moves toward it, sometimes with academic scaffolding, sometimes with raw unfiltered feeling, but always with a sense that what he’s writing matters to him personally.</w:t>
      </w:r>
    </w:p>
    <w:p>
      <w:pPr>
        <w:pBdr>
          <w:bottom w:val="single" w:sz="6" w:space="1" w:color="CCCCCC"/>
        </w:pBdr>
      </w:pPr>
    </w:p>
    <w:p>
      <w:pPr>
        <w:pStyle w:val="Heading2"/>
      </w:pPr>
      <w:r>
        <w:t>Cross-Cutting DNA</w:t>
      </w:r>
    </w:p>
    <w:p>
      <w:pPr>
        <w:pStyle w:val="ListBullet"/>
        <w:spacing w:after="60"/>
      </w:pPr>
      <w:r>
        <w:rPr>
          <w:rFonts w:ascii="Calibri" w:hAnsi="Calibri"/>
          <w:b/>
          <w:sz w:val="22"/>
        </w:rPr>
        <w:t xml:space="preserve">Conviction-first writer. </w:t>
      </w:r>
      <w:r>
        <w:rPr>
          <w:rFonts w:ascii="Calibri" w:hAnsi="Calibri"/>
        </w:rPr>
        <w:t>Whether arguing about the Sabbath commandment, defending his performance at NFCU, or wrestling with God at 2 AM, Daniel leads with belief. He states claims and then supports them. He doesn’t hedge both sides equally — he has a position and he builds toward it.</w:t>
      </w:r>
    </w:p>
    <w:p>
      <w:pPr>
        <w:pStyle w:val="ListBullet"/>
        <w:spacing w:after="60"/>
      </w:pPr>
      <w:r>
        <w:rPr>
          <w:rFonts w:ascii="Calibri" w:hAnsi="Calibri"/>
          <w:b/>
          <w:sz w:val="22"/>
        </w:rPr>
        <w:t xml:space="preserve">Relational framing. </w:t>
      </w:r>
      <w:r>
        <w:rPr>
          <w:rFonts w:ascii="Calibri" w:hAnsi="Calibri"/>
        </w:rPr>
        <w:t>In academic papers, God is relational (covenant, marriage, forgiveness between parties). In professional evals, work is relational (mentoring, serving BUs, team communication). In journals, everything is relational (God as father, himself as son, community as accountability). Relationships are the lens through which he processes the world.</w:t>
      </w:r>
    </w:p>
    <w:p>
      <w:pPr>
        <w:pStyle w:val="ListBullet"/>
        <w:spacing w:after="60"/>
      </w:pPr>
      <w:r>
        <w:rPr>
          <w:rFonts w:ascii="Calibri" w:hAnsi="Calibri"/>
          <w:b/>
          <w:sz w:val="22"/>
        </w:rPr>
        <w:t xml:space="preserve">Scaffolding tendency. </w:t>
      </w:r>
      <w:r>
        <w:rPr>
          <w:rFonts w:ascii="Calibri" w:hAnsi="Calibri"/>
        </w:rPr>
        <w:t>Daniel likes to tell you what he’s about to tell you. Academic: "As a general outline, I will walk through..." Professional: "The 3 goals that were set this year for me were..." Journal: "Some of the things he was sharing about was this story about..." This is a structural habit that spans all modes — a desire to orient the reader/himself before diving in.</w:t>
      </w:r>
    </w:p>
    <w:p>
      <w:pPr>
        <w:pStyle w:val="ListBullet"/>
        <w:spacing w:after="60"/>
      </w:pPr>
      <w:r>
        <w:rPr>
          <w:rFonts w:ascii="Calibri" w:hAnsi="Calibri"/>
          <w:b/>
          <w:sz w:val="22"/>
        </w:rPr>
        <w:t xml:space="preserve">Long sentences under emotional load. </w:t>
      </w:r>
      <w:r>
        <w:rPr>
          <w:rFonts w:ascii="Calibri" w:hAnsi="Calibri"/>
        </w:rPr>
        <w:t>When Daniel feels strongly — about God’s sacrifice, about his own failure, about career recognition — his sentences stretch. They accumulate clauses, they chain thoughts with commas and “and,” they run until the feeling is fully expressed. This is his most distinctive rhythmic signature.</w:t>
      </w:r>
    </w:p>
    <w:p>
      <w:pPr>
        <w:pStyle w:val="ListBullet"/>
        <w:spacing w:after="60"/>
      </w:pPr>
      <w:r>
        <w:rPr>
          <w:rFonts w:ascii="Calibri" w:hAnsi="Calibri"/>
          <w:b/>
          <w:sz w:val="22"/>
        </w:rPr>
        <w:t xml:space="preserve">Genuine voice buried under format. </w:t>
      </w:r>
      <w:r>
        <w:rPr>
          <w:rFonts w:ascii="Calibri" w:hAnsi="Calibri"/>
        </w:rPr>
        <w:t>In academic and professional writing, a corporate/institutional voice overlays his natural one. But even there, his real voice leaks through: "cheating in seminary is actually crazy lol" in a journal, or "I felt seen by God" — these are moments of unguarded Daniel. His natural register is conversational, earnest, and occasionally self-deprecating.</w:t>
      </w:r>
    </w:p>
    <w:p>
      <w:r>
        <w:br w:type="page"/>
      </w:r>
    </w:p>
    <w:p>
      <w:pPr>
        <w:pStyle w:val="Heading1"/>
      </w:pPr>
      <w:r>
        <w:t>In-Depth: Academic Writing</w:t>
      </w:r>
    </w:p>
    <w:p>
      <w:pPr>
        <w:spacing w:after="40"/>
      </w:pPr>
      <w:r>
        <w:rPr>
          <w:rFonts w:ascii="Calibri" w:hAnsi="Calibri"/>
          <w:b/>
          <w:caps/>
          <w:color w:val="2E5090"/>
          <w:sz w:val="18"/>
        </w:rPr>
        <w:t>6 SAMPLES • ACADEMIC / THEOLOGICAL • FORMAL ARGUMENTATIVE ESSAYS</w:t>
      </w:r>
    </w:p>
    <w:p>
      <w:pPr>
        <w:pStyle w:val="Heading2"/>
      </w:pPr>
      <w:r>
        <w:t>Sentence Rhythm</w:t>
      </w:r>
    </w:p>
    <w:p>
      <w:r>
        <w:t>Daniel’s academic sentences average 25–35 words, with some running 50+. He favors complex sentences with subordinate clauses.</w:t>
      </w:r>
    </w:p>
    <w:p>
      <w:pPr>
        <w:pStyle w:val="BlockQuote"/>
      </w:pPr>
      <w:r>
        <w:t>“Many points of contention arise from individuals outside of the faith who view marriage as a socially constructed arrangement, whose definition can bend and change to accommodate shifting priorities and values.” (32 words)</w:t>
      </w:r>
    </w:p>
    <w:p>
      <w:r>
        <w:t>He rarely writes a sentence under 10 words in academic mode. This creates a uniform density — Peterson would flag this as insufficient variation. There are no punchy short sentences to create emphasis or breathing room.</w:t>
      </w:r>
    </w:p>
    <w:p>
      <w:pPr>
        <w:pStyle w:val="Heading2"/>
      </w:pPr>
      <w:r>
        <w:t>Vocabulary Tendencies</w:t>
      </w:r>
    </w:p>
    <w:p>
      <w:pPr>
        <w:spacing w:after="40"/>
      </w:pPr>
      <w:r>
        <w:rPr>
          <w:rFonts w:ascii="Calibri" w:hAnsi="Calibri"/>
          <w:b/>
          <w:caps/>
          <w:color w:val="2E5090"/>
          <w:sz w:val="18"/>
        </w:rPr>
        <w:t>GRAVITATIONAL WORDS</w:t>
      </w:r>
    </w:p>
    <w:p>
      <w:r>
        <w:t>“covenantal,” “ordained,” “sanctity,” “foundational,” “demonstrates,” “illustrates,” “paramount”</w:t>
      </w:r>
    </w:p>
    <w:p>
      <w:pPr>
        <w:spacing w:after="40"/>
      </w:pPr>
      <w:r>
        <w:rPr>
          <w:rFonts w:ascii="Calibri" w:hAnsi="Calibri"/>
          <w:b/>
          <w:caps/>
          <w:color w:val="2E5090"/>
          <w:sz w:val="18"/>
        </w:rPr>
        <w:t>REGISTER</w:t>
      </w:r>
    </w:p>
    <w:p>
      <w:r>
        <w:t>Formal-elevated, appropriate for seminary.</w:t>
      </w:r>
    </w:p>
    <w:p>
      <w:pPr>
        <w:spacing w:after="40"/>
      </w:pPr>
      <w:r>
        <w:rPr>
          <w:rFonts w:ascii="Calibri" w:hAnsi="Calibri"/>
          <w:b/>
          <w:caps/>
          <w:color w:val="2E5090"/>
          <w:sz w:val="18"/>
        </w:rPr>
        <w:t>CRUTCH PHRASES</w:t>
      </w:r>
    </w:p>
    <w:p>
      <w:r>
        <w:t>“It is important to note that,” “we can see,” “this is because,” “in order to”</w:t>
      </w:r>
    </w:p>
    <w:p>
      <w:r>
        <w:rPr>
          <w:rFonts w:ascii="Calibri" w:hAnsi="Calibri"/>
          <w:b/>
          <w:color w:val="2E7D32"/>
        </w:rPr>
        <w:t xml:space="preserve">PRESERVE: </w:t>
      </w:r>
      <w:r>
        <w:rPr>
          <w:rFonts w:ascii="Calibri" w:hAnsi="Calibri"/>
        </w:rPr>
        <w:t>He uses theological vocabulary with genuine precision — “imago Dei,” “šābat,” “melakhah,” “halakhic” — he’s not showing off, he understands these terms.</w:t>
      </w:r>
    </w:p>
    <w:p>
      <w:r>
        <w:rPr>
          <w:rFonts w:ascii="Calibri" w:hAnsi="Calibri"/>
          <w:b/>
          <w:color w:val="C62828"/>
        </w:rPr>
        <w:t xml:space="preserve">ROUGH: </w:t>
      </w:r>
      <w:r>
        <w:rPr>
          <w:rFonts w:ascii="Calibri" w:hAnsi="Calibri"/>
        </w:rPr>
        <w:t>Over-reliance on “we can see” and “this demonstrates” as connective tissue — generic academic filler.</w:t>
      </w:r>
    </w:p>
    <w:p>
      <w:pPr>
        <w:pStyle w:val="Heading2"/>
      </w:pPr>
      <w:r>
        <w:t>Tone Register</w:t>
      </w:r>
    </w:p>
    <w:p>
      <w:r>
        <w:t>Formal and assured. He writes with the confidence of someone who believes what he’s arguing. Not tentative. But the formality sometimes flattens his natural energy. Compare the alive voice of “This is the true sacrifice. What you give is a perversion of what I am doing” (journal, channeling God’s voice) with the flattened academic version of the same theological passion.</w:t>
      </w:r>
    </w:p>
    <w:p>
      <w:pPr>
        <w:pStyle w:val="Heading2"/>
      </w:pPr>
      <w:r>
        <w:t>Structural Habits</w:t>
      </w:r>
    </w:p>
    <w:p>
      <w:pPr>
        <w:pStyle w:val="ListBullet"/>
        <w:spacing w:after="60"/>
      </w:pPr>
      <w:r>
        <w:rPr>
          <w:rFonts w:ascii="Calibri" w:hAnsi="Calibri"/>
          <w:b/>
          <w:sz w:val="22"/>
        </w:rPr>
        <w:t>Openings:</w:t>
      </w:r>
      <w:r>
        <w:rPr>
          <w:rFonts w:ascii="Calibri" w:hAnsi="Calibri"/>
        </w:rPr>
        <w:t xml:space="preserve"> Always a thesis roadmap. Every paper begins with “This document will outline...” or “In order to establish...” This is technically correct for seminary papers but formulaic.</w:t>
      </w:r>
    </w:p>
    <w:p>
      <w:pPr>
        <w:pStyle w:val="ListBullet"/>
        <w:spacing w:after="60"/>
      </w:pPr>
      <w:r>
        <w:rPr>
          <w:rFonts w:ascii="Calibri" w:hAnsi="Calibri"/>
          <w:b/>
          <w:sz w:val="22"/>
        </w:rPr>
        <w:t>Body:</w:t>
      </w:r>
      <w:r>
        <w:rPr>
          <w:rFonts w:ascii="Calibri" w:hAnsi="Calibri"/>
        </w:rPr>
        <w:t xml:space="preserve"> Claim → Scripture quotation → Scholar citation → Synthesis. Very consistent pattern. He rarely deviates from this three-beat structure.</w:t>
      </w:r>
    </w:p>
    <w:p>
      <w:pPr>
        <w:pStyle w:val="ListBullet"/>
        <w:spacing w:after="60"/>
      </w:pPr>
      <w:r>
        <w:rPr>
          <w:rFonts w:ascii="Calibri" w:hAnsi="Calibri"/>
          <w:b/>
          <w:sz w:val="22"/>
        </w:rPr>
        <w:t>Closings:</w:t>
      </w:r>
      <w:r>
        <w:rPr>
          <w:rFonts w:ascii="Calibri" w:hAnsi="Calibri"/>
        </w:rPr>
        <w:t xml:space="preserve"> Synthesis paragraphs that tie threads together.</w:t>
      </w:r>
    </w:p>
    <w:p>
      <w:pPr>
        <w:pStyle w:val="BlockQuote"/>
      </w:pPr>
      <w:r>
        <w:t>“Marriage, then, is both a creation ordinance and a gospel metaphor. It points us back to the beginning (Gen. 1–2), confronts us with the effects of sin (Gen. 3), and directs us to Christ in our brokenness (Eph. 5).”</w:t>
      </w:r>
    </w:p>
    <w:p>
      <w:r>
        <w:rPr>
          <w:rFonts w:ascii="Calibri" w:hAnsi="Calibri"/>
          <w:b/>
          <w:color w:val="2E7D32"/>
        </w:rPr>
        <w:t>PRESERVE.</w:t>
      </w:r>
      <w:r>
        <w:rPr>
          <w:rFonts w:ascii="Calibri" w:hAnsi="Calibri"/>
        </w:rPr>
        <w:t xml:space="preserve"> That’s a genuinely strong closing sentence with rhythmic tricolon.</w:t>
      </w:r>
    </w:p>
    <w:p>
      <w:pPr>
        <w:pStyle w:val="Heading2"/>
      </w:pPr>
      <w:r>
        <w:t>Rhetorical Moves</w:t>
      </w:r>
    </w:p>
    <w:p>
      <w:pPr>
        <w:pStyle w:val="ListBullet"/>
        <w:spacing w:after="60"/>
      </w:pPr>
      <w:r/>
      <w:r>
        <w:rPr>
          <w:rFonts w:ascii="Calibri" w:hAnsi="Calibri"/>
        </w:rPr>
        <w:t>Scripture as primary evidence (always the anchor)</w:t>
      </w:r>
    </w:p>
    <w:p>
      <w:pPr>
        <w:pStyle w:val="ListBullet"/>
        <w:spacing w:after="60"/>
      </w:pPr>
      <w:r/>
      <w:r>
        <w:rPr>
          <w:rFonts w:ascii="Calibri" w:hAnsi="Calibri"/>
        </w:rPr>
        <w:t>Scholars as corroboration (never the lead — scholars serve the biblical argument)</w:t>
      </w:r>
    </w:p>
    <w:p>
      <w:pPr>
        <w:pStyle w:val="ListBullet"/>
        <w:spacing w:after="60"/>
      </w:pPr>
      <w:r/>
      <w:r>
        <w:rPr>
          <w:rFonts w:ascii="Calibri" w:hAnsi="Calibri"/>
        </w:rPr>
        <w:t>Anticipating counterarguments: “While some may argue that one can ‘be fruitful’ outside of marriage...” — he does this naturally and well</w:t>
      </w:r>
    </w:p>
    <w:p>
      <w:pPr>
        <w:pStyle w:val="ListBullet"/>
        <w:spacing w:after="60"/>
      </w:pPr>
      <w:r/>
      <w:r>
        <w:rPr>
          <w:rFonts w:ascii="Calibri" w:hAnsi="Calibri"/>
        </w:rPr>
        <w:t>Occasional direct address to reader: “we must remember,” “let us align ourselves” — PRESERVE, this is his pastoral instinct coming through</w:t>
      </w:r>
    </w:p>
    <w:p>
      <w:pPr>
        <w:pStyle w:val="Heading2"/>
      </w:pPr>
      <w:r>
        <w:t>Peterson Gaps</w:t>
      </w:r>
    </w:p>
    <w:p>
      <w:pPr>
        <w:pStyle w:val="ListBullet"/>
        <w:spacing w:after="60"/>
      </w:pPr>
      <w:r>
        <w:rPr>
          <w:rFonts w:ascii="Calibri" w:hAnsi="Calibri"/>
          <w:b/>
          <w:sz w:val="22"/>
        </w:rPr>
        <w:t xml:space="preserve">Sentence length uniformity. </w:t>
      </w:r>
      <w:r>
        <w:rPr>
          <w:rFonts w:ascii="Calibri" w:hAnsi="Calibri"/>
        </w:rPr>
        <w:t>Nearly every sentence is 20–40 words. He needs 5–8 word sentences for emphasis. After quoting Hebrews 13:4, instead of immediately continuing with another long sentence, a short one would land harder: “Scripture is consistent on this.” Then continue.</w:t>
      </w:r>
    </w:p>
    <w:p>
      <w:pPr>
        <w:pStyle w:val="ListBullet"/>
        <w:spacing w:after="60"/>
      </w:pPr>
      <w:r>
        <w:rPr>
          <w:rFonts w:ascii="Calibri" w:hAnsi="Calibri"/>
          <w:b/>
          <w:sz w:val="22"/>
        </w:rPr>
        <w:t xml:space="preserve">Throat-clearing openings. </w:t>
      </w:r>
      <w:r>
        <w:rPr>
          <w:rFonts w:ascii="Calibri" w:hAnsi="Calibri"/>
        </w:rPr>
        <w:t>“As you have requested to learn more about marriage from a biblical context, I am happy to go through Scripture...” — Peterson: edit ruthlessly. The essay could open with the first real claim: “Marriage is not a man-made institution.” That’s a sentence with teeth.</w:t>
      </w:r>
    </w:p>
    <w:p>
      <w:pPr>
        <w:pStyle w:val="ListBullet"/>
        <w:spacing w:after="60"/>
      </w:pPr>
      <w:r>
        <w:rPr>
          <w:rFonts w:ascii="Calibri" w:hAnsi="Calibri"/>
          <w:b/>
          <w:sz w:val="22"/>
        </w:rPr>
        <w:t xml:space="preserve">Overexplanation after strong evidence. </w:t>
      </w:r>
      <w:r>
        <w:rPr>
          <w:rFonts w:ascii="Calibri" w:hAnsi="Calibri"/>
        </w:rPr>
        <w:t>When he quotes a powerful verse, he often restates what the verse already said. Trust the evidence to land.</w:t>
      </w:r>
    </w:p>
    <w:p>
      <w:pPr>
        <w:spacing w:after="40"/>
      </w:pPr>
      <w:r>
        <w:rPr>
          <w:rFonts w:ascii="Calibri" w:hAnsi="Calibri"/>
          <w:b/>
          <w:caps/>
          <w:color w:val="2E5090"/>
          <w:sz w:val="18"/>
        </w:rPr>
        <w:t>VOCAB DB WORDS FOUND NATURALLY</w:t>
      </w:r>
    </w:p>
    <w:p>
      <w:r>
        <w:t>“ordained,” “sanctity,” “imbued,” “imperative,” “commensurate” — he already gravitates toward elevated vocabulary in academic mode.</w:t>
      </w:r>
    </w:p>
    <w:p>
      <w:pPr>
        <w:spacing w:after="40"/>
      </w:pPr>
      <w:r>
        <w:rPr>
          <w:rFonts w:ascii="Calibri" w:hAnsi="Calibri"/>
          <w:b/>
          <w:caps/>
          <w:color w:val="2E5090"/>
          <w:sz w:val="18"/>
        </w:rPr>
        <w:t>GRADES</w:t>
      </w:r>
    </w:p>
    <w:p>
      <w:r>
        <w:t>95–100, 98–100 on the graded papers. The rough edges don’t prevent strong performance — the thinking and argumentation are genuinely good. The writing just needs tightening.</w:t>
      </w:r>
    </w:p>
    <w:p>
      <w:r>
        <w:br w:type="page"/>
      </w:r>
    </w:p>
    <w:p>
      <w:pPr>
        <w:pStyle w:val="Heading1"/>
      </w:pPr>
      <w:r>
        <w:t>In-Depth: Professional Writing</w:t>
      </w:r>
    </w:p>
    <w:p>
      <w:pPr>
        <w:spacing w:after="40"/>
      </w:pPr>
      <w:r>
        <w:rPr>
          <w:rFonts w:ascii="Calibri" w:hAnsi="Calibri"/>
          <w:b/>
          <w:caps/>
          <w:color w:val="2E5090"/>
          <w:sz w:val="18"/>
        </w:rPr>
        <w:t>3 SAMPLES • PROFESSIONAL / CORPORATE • ANNUAL SELF-EVALUATIONS</w:t>
      </w:r>
    </w:p>
    <w:p>
      <w:pPr>
        <w:pStyle w:val="Heading2"/>
      </w:pPr>
      <w:r>
        <w:t>Sentence Rhythm</w:t>
      </w:r>
    </w:p>
    <w:p>
      <w:r>
        <w:t>The longest average sentence length of any mode. Many sentences exceed 50 words. Some are genuinely difficult to parse:</w:t>
      </w:r>
    </w:p>
    <w:p>
      <w:pPr>
        <w:pStyle w:val="BlockQuote"/>
      </w:pPr>
      <w:r>
        <w:t>“By sending a template of the SPA and all of the required fields to the tech leads and architects beforehand, tech leads were able to contribute when they could on their own schedule and allowed us to coordinate with them for any clarification on a need-to-need basis.” (45 words)</w:t>
      </w:r>
    </w:p>
    <w:p>
      <w:r>
        <w:t>This is corporate writing at its most sprawling. Sentences try to pack every qualifier and detail into a single unit.</w:t>
      </w:r>
    </w:p>
    <w:p>
      <w:pPr>
        <w:pStyle w:val="Heading2"/>
      </w:pPr>
      <w:r>
        <w:t>Vocabulary Tendencies</w:t>
      </w:r>
    </w:p>
    <w:p>
      <w:pPr>
        <w:spacing w:after="40"/>
      </w:pPr>
      <w:r>
        <w:rPr>
          <w:rFonts w:ascii="Calibri" w:hAnsi="Calibri"/>
          <w:b/>
          <w:caps/>
          <w:color w:val="2E5090"/>
          <w:sz w:val="18"/>
        </w:rPr>
        <w:t>CORPORATE VOCABULARY</w:t>
      </w:r>
    </w:p>
    <w:p>
      <w:r>
        <w:t>“facilitate,” “stakeholders,” “deliverables,” “proactive/proactively,” “streamline,” “holistic,” “engagement,” “initiative”</w:t>
      </w:r>
    </w:p>
    <w:p>
      <w:pPr>
        <w:pStyle w:val="ListBullet"/>
        <w:spacing w:after="60"/>
      </w:pPr>
      <w:r/>
      <w:r>
        <w:rPr>
          <w:rFonts w:ascii="Calibri" w:hAnsi="Calibri"/>
        </w:rPr>
        <w:t>“Above and beyond” appears in every eval — a crutch phrase</w:t>
      </w:r>
    </w:p>
    <w:p>
      <w:pPr>
        <w:pStyle w:val="ListBullet"/>
        <w:spacing w:after="60"/>
      </w:pPr>
      <w:r/>
      <w:r>
        <w:rPr>
          <w:rFonts w:ascii="Calibri" w:hAnsi="Calibri"/>
        </w:rPr>
        <w:t>“Pertinent” is a favorite — appears 5+ times across the evals</w:t>
      </w:r>
    </w:p>
    <w:p>
      <w:r>
        <w:rPr>
          <w:rFonts w:ascii="Calibri" w:hAnsi="Calibri"/>
          <w:b/>
          <w:color w:val="C62828"/>
        </w:rPr>
        <w:t xml:space="preserve">ROUGH: </w:t>
      </w:r>
      <w:r>
        <w:rPr>
          <w:rFonts w:ascii="Calibri" w:hAnsi="Calibri"/>
        </w:rPr>
        <w:t>“Facilitate” and “stakeholders” are used so frequently they lose meaning. Peterson: use the precise word. “Facilitate” covers everything from “I scheduled a meeting” to “I led the entire process.” Which was it?</w:t>
      </w:r>
    </w:p>
    <w:p>
      <w:pPr>
        <w:pStyle w:val="Heading2"/>
      </w:pPr>
      <w:r>
        <w:t>Tone Register</w:t>
      </w:r>
    </w:p>
    <w:p>
      <w:r>
        <w:t>Self-promotional but earnest. He’s advocating for himself but doing it from a place of genuine pride in his work, not artifice. The 2023 eval shifts to third person (“Daniel has not only continued to exceed expectations...”) — this is a strategic choice for the promotion case, but it reads awkwardly because it’s so different from his natural first-person voice.</w:t>
      </w:r>
    </w:p>
    <w:p>
      <w:pPr>
        <w:pStyle w:val="Heading2"/>
      </w:pPr>
      <w:r>
        <w:t>Structural Habits</w:t>
      </w:r>
    </w:p>
    <w:p>
      <w:pPr>
        <w:pStyle w:val="ListBullet"/>
        <w:spacing w:after="60"/>
      </w:pPr>
      <w:r/>
      <w:r>
        <w:rPr>
          <w:rFonts w:ascii="Calibri" w:hAnsi="Calibri"/>
        </w:rPr>
        <w:t>Goal-by-goal structure (dictated by the format)</w:t>
      </w:r>
    </w:p>
    <w:p>
      <w:pPr>
        <w:pStyle w:val="ListBullet"/>
        <w:spacing w:after="60"/>
      </w:pPr>
      <w:r/>
      <w:r>
        <w:rPr>
          <w:rFonts w:ascii="Calibri" w:hAnsi="Calibri"/>
        </w:rPr>
        <w:t>Within each goal: claim of exceeding expectations → detailed evidence → broader impact statement</w:t>
      </w:r>
    </w:p>
    <w:p>
      <w:pPr>
        <w:pStyle w:val="ListBullet"/>
        <w:spacing w:after="60"/>
      </w:pPr>
      <w:r/>
      <w:r>
        <w:rPr>
          <w:rFonts w:ascii="Calibri" w:hAnsi="Calibri"/>
        </w:rPr>
        <w:t>No paragraph breaks within goals. Massive blocks of text. The 2022 eval has paragraphs exceeding 300 words with no break. This is the roughest structural habit.</w:t>
      </w:r>
    </w:p>
    <w:p>
      <w:pPr>
        <w:pStyle w:val="Heading2"/>
      </w:pPr>
      <w:r>
        <w:t>Rhetorical Moves</w:t>
      </w:r>
    </w:p>
    <w:p>
      <w:r>
        <w:rPr>
          <w:rFonts w:ascii="Calibri" w:hAnsi="Calibri"/>
          <w:b/>
        </w:rPr>
        <w:t xml:space="preserve">Quantification: </w:t>
      </w:r>
      <w:r>
        <w:rPr>
          <w:rFonts w:ascii="Calibri" w:hAnsi="Calibri"/>
        </w:rPr>
        <w:t xml:space="preserve">“4 SPAs,” “5 SPAs,” “7 DTAs,” “415 miles ran,” “909 miles cycled” — </w:t>
      </w:r>
      <w:r>
        <w:rPr>
          <w:rFonts w:ascii="Calibri" w:hAnsi="Calibri"/>
          <w:b/>
          <w:color w:val="2E7D32"/>
        </w:rPr>
        <w:t>PRESERVE.</w:t>
      </w:r>
      <w:r>
        <w:rPr>
          <w:rFonts w:ascii="Calibri" w:hAnsi="Calibri"/>
        </w:rPr>
        <w:t xml:space="preserve"> He backs claims with numbers. This is effective.</w:t>
      </w:r>
    </w:p>
    <w:p>
      <w:pPr>
        <w:pStyle w:val="ListBullet"/>
        <w:spacing w:after="60"/>
      </w:pPr>
      <w:r>
        <w:rPr>
          <w:rFonts w:ascii="Calibri" w:hAnsi="Calibri"/>
          <w:b/>
          <w:sz w:val="22"/>
        </w:rPr>
        <w:t>Name-dropping with context:</w:t>
      </w:r>
      <w:r>
        <w:rPr>
          <w:rFonts w:ascii="Calibri" w:hAnsi="Calibri"/>
        </w:rPr>
        <w:t xml:space="preserve"> “I worked heavily with Nana Akuamoa-Boateng, and coordinated additional meetings with David Brenner and Jesse Wolfe” — demonstrates breadth of collaboration</w:t>
      </w:r>
    </w:p>
    <w:p>
      <w:r>
        <w:rPr>
          <w:rFonts w:ascii="Calibri" w:hAnsi="Calibri"/>
          <w:b/>
        </w:rPr>
        <w:t xml:space="preserve">Testimonial insertion: </w:t>
      </w:r>
      <w:r>
        <w:rPr>
          <w:rFonts w:ascii="Calibri" w:hAnsi="Calibri"/>
        </w:rPr>
        <w:t xml:space="preserve">“PM Jyothi Satishbabu gave a special thanks and shoutout...” — </w:t>
      </w:r>
      <w:r>
        <w:rPr>
          <w:rFonts w:ascii="Calibri" w:hAnsi="Calibri"/>
          <w:b/>
          <w:color w:val="2E7D32"/>
        </w:rPr>
        <w:t>PRESERVE.</w:t>
      </w:r>
      <w:r>
        <w:rPr>
          <w:rFonts w:ascii="Calibri" w:hAnsi="Calibri"/>
        </w:rPr>
        <w:t xml:space="preserve"> Letting others validate his work is persuasive.</w:t>
      </w:r>
    </w:p>
    <w:p>
      <w:pPr>
        <w:pStyle w:val="Heading2"/>
      </w:pPr>
      <w:r>
        <w:t>Peterson Gaps</w:t>
      </w:r>
    </w:p>
    <w:p>
      <w:pPr>
        <w:pStyle w:val="ListBullet"/>
        <w:spacing w:after="60"/>
      </w:pPr>
      <w:r>
        <w:rPr>
          <w:rFonts w:ascii="Calibri" w:hAnsi="Calibri"/>
          <w:b/>
          <w:sz w:val="22"/>
        </w:rPr>
        <w:t xml:space="preserve">Ruthless editing. </w:t>
      </w:r>
      <w:r>
        <w:rPr>
          <w:rFonts w:ascii="Calibri" w:hAnsi="Calibri"/>
        </w:rPr>
        <w:t>The 2022 eval is 5,263 words. Much of it is repeated across goals. The same accomplishments are described 2–3 times in different goal sections. Half the words could be cut.</w:t>
      </w:r>
    </w:p>
    <w:p>
      <w:pPr>
        <w:pStyle w:val="ListBullet"/>
        <w:spacing w:after="60"/>
      </w:pPr>
      <w:r>
        <w:rPr>
          <w:rFonts w:ascii="Calibri" w:hAnsi="Calibri"/>
          <w:b/>
          <w:sz w:val="22"/>
        </w:rPr>
        <w:t xml:space="preserve">Paragraph discipline. </w:t>
      </w:r>
      <w:r>
        <w:rPr>
          <w:rFonts w:ascii="Calibri" w:hAnsi="Calibri"/>
        </w:rPr>
        <w:t>300-word wall-of-text paragraphs need to be broken into focused units with one point each.</w:t>
      </w:r>
    </w:p>
    <w:p>
      <w:pPr>
        <w:pStyle w:val="ListBullet"/>
        <w:spacing w:after="60"/>
      </w:pPr>
      <w:r>
        <w:rPr>
          <w:rFonts w:ascii="Calibri" w:hAnsi="Calibri"/>
          <w:b/>
          <w:sz w:val="22"/>
        </w:rPr>
        <w:t xml:space="preserve">Precision over comprehensiveness. </w:t>
      </w:r>
      <w:r>
        <w:rPr>
          <w:rFonts w:ascii="Calibri" w:hAnsi="Calibri"/>
        </w:rPr>
        <w:t>Instead of listing every PBI and every stakeholder, pick the 2–3 most impactful examples and describe them precisely. The exhaustive listing actually dilutes the impact.</w:t>
      </w:r>
    </w:p>
    <w:p>
      <w:pPr>
        <w:spacing w:after="40"/>
      </w:pPr>
      <w:r>
        <w:rPr>
          <w:rFonts w:ascii="Calibri" w:hAnsi="Calibri"/>
          <w:b/>
          <w:caps/>
          <w:color w:val="2E5090"/>
          <w:sz w:val="18"/>
        </w:rPr>
        <w:t>EVOLUTION ACROSS YEARS</w:t>
      </w:r>
    </w:p>
    <w:p>
      <w:r>
        <w:t>There’s a clear growth arc from 2021 → 2023. The 2021 eval is more hesitant and descriptive. By 2023, he’s making a deliberate case for promotion with strategic framing. The writing itself doesn’t improve much structurally, but the rhetorical sophistication increases.</w:t>
      </w:r>
    </w:p>
    <w:p>
      <w:r>
        <w:br w:type="page"/>
      </w:r>
    </w:p>
    <w:p>
      <w:pPr>
        <w:pStyle w:val="Heading1"/>
      </w:pPr>
      <w:r>
        <w:t>In-Depth: Journal Writing</w:t>
      </w:r>
    </w:p>
    <w:p>
      <w:pPr>
        <w:spacing w:after="40"/>
      </w:pPr>
      <w:r>
        <w:rPr>
          <w:rFonts w:ascii="Calibri" w:hAnsi="Calibri"/>
          <w:b/>
          <w:caps/>
          <w:color w:val="2E5090"/>
          <w:sz w:val="18"/>
        </w:rPr>
        <w:t>7 ENTRIES • 2025–2026 • RAW, STREAM-OF-CONSCIOUSNESS, SPIRITUALLY INTIMATE</w:t>
      </w:r>
    </w:p>
    <w:p>
      <w:r>
        <w:t>This is where Daniel’s real voice lives. The academic and professional writing are performances within institutional formats. The journal is unfiltered Daniel.</w:t>
      </w:r>
    </w:p>
    <w:p>
      <w:pPr>
        <w:pStyle w:val="Heading2"/>
      </w:pPr>
      <w:r>
        <w:t>Sentence Rhythm</w:t>
      </w:r>
    </w:p>
    <w:p>
      <w:r>
        <w:t>Wildly variable — exactly the pattern Peterson recommends, but achieved naturally rather than deliberately. Short declarative punches followed by long emotional runs:</w:t>
      </w:r>
    </w:p>
    <w:p>
      <w:pPr>
        <w:pStyle w:val="BlockQuote"/>
      </w:pPr>
      <w:r>
        <w:t>“I felt like a baby.” (6 words) → “When before I’d seen his content I felt like a man.” (12 words) → “I felt like I matured so much but looking at the full scope of where he is at in his life and where I am at, although I am also cognizant that he has his own things and purposes and design that God has specific for him as well as specific things for me, there are certain aspects that I wonder if I’m just so immature in my faith still.” (67 words)</w:t>
      </w:r>
    </w:p>
    <w:p>
      <w:r>
        <w:t>The short sentences carry emotional weight. The long sentences carry emotional processing. This alternation is the most authentic thing about his writing — PRESERVE absolutely.</w:t>
      </w:r>
    </w:p>
    <w:p>
      <w:pPr>
        <w:pStyle w:val="Heading2"/>
      </w:pPr>
      <w:r>
        <w:t>Vocabulary Tendencies</w:t>
      </w:r>
    </w:p>
    <w:p>
      <w:pPr>
        <w:pStyle w:val="ListBullet"/>
        <w:spacing w:after="60"/>
      </w:pPr>
      <w:r/>
      <w:r>
        <w:rPr>
          <w:rFonts w:ascii="Calibri" w:hAnsi="Calibri"/>
        </w:rPr>
        <w:t>Natural, conversational register with theological vocabulary mixed in seamlessly</w:t>
      </w:r>
    </w:p>
    <w:p>
      <w:pPr>
        <w:pStyle w:val="ListBullet"/>
        <w:spacing w:after="60"/>
      </w:pPr>
      <w:r/>
      <w:r>
        <w:rPr>
          <w:rFonts w:ascii="Calibri" w:hAnsi="Calibri"/>
        </w:rPr>
        <w:t>“Lol” and “ugh” and “kinda” appear alongside “imago Dei” and “supplication” — this code-switching is a voice signature</w:t>
      </w:r>
    </w:p>
    <w:p>
      <w:pPr>
        <w:pStyle w:val="BlockQuote"/>
      </w:pPr>
      <w:r>
        <w:t>“cheating in seminary is actually crazy lol”</w:t>
      </w:r>
    </w:p>
    <w:p>
      <w:r>
        <w:rPr>
          <w:rFonts w:ascii="Calibri" w:hAnsi="Calibri"/>
          <w:b/>
          <w:color w:val="2E7D32"/>
        </w:rPr>
        <w:t>PRESERVE.</w:t>
      </w:r>
      <w:r>
        <w:rPr>
          <w:rFonts w:ascii="Calibri" w:hAnsi="Calibri"/>
        </w:rPr>
        <w:t xml:space="preserve"> This is peak Daniel: genuine moral seriousness delivered with casual humor.</w:t>
      </w:r>
    </w:p>
    <w:p>
      <w:pPr>
        <w:spacing w:after="40"/>
      </w:pPr>
      <w:r>
        <w:rPr>
          <w:rFonts w:ascii="Calibri" w:hAnsi="Calibri"/>
          <w:b/>
          <w:caps/>
          <w:color w:val="2E5090"/>
          <w:sz w:val="18"/>
        </w:rPr>
        <w:t>CRUTCH WORDS</w:t>
      </w:r>
    </w:p>
    <w:p>
      <w:r>
        <w:t>“Anyhow” (used as a transition 3+ times), “basically,” “honestly”</w:t>
      </w:r>
    </w:p>
    <w:p>
      <w:pPr>
        <w:spacing w:after="40"/>
      </w:pPr>
      <w:r>
        <w:rPr>
          <w:rFonts w:ascii="Calibri" w:hAnsi="Calibri"/>
          <w:b/>
          <w:caps/>
          <w:color w:val="2E5090"/>
          <w:sz w:val="18"/>
        </w:rPr>
        <w:t>REPETITION FOR EMPHASIS</w:t>
      </w:r>
    </w:p>
    <w:p>
      <w:r>
        <w:t>“I will not be deceived / I will not be deceived / I will not be deceived” — not accidental, this is rhetorical.</w:t>
      </w:r>
    </w:p>
    <w:p>
      <w:pPr>
        <w:pStyle w:val="Heading2"/>
      </w:pPr>
      <w:r>
        <w:t>Tone Register</w:t>
      </w:r>
    </w:p>
    <w:p>
      <w:r>
        <w:t>The widest range of any mode. Within a single entry he moves from:</w:t>
      </w:r>
    </w:p>
    <w:p>
      <w:pPr>
        <w:pStyle w:val="ListBullet"/>
        <w:spacing w:after="60"/>
      </w:pPr>
      <w:r>
        <w:rPr>
          <w:rFonts w:ascii="Calibri" w:hAnsi="Calibri"/>
          <w:b/>
          <w:sz w:val="22"/>
        </w:rPr>
        <w:t xml:space="preserve">Confessional vulnerability: </w:t>
      </w:r>
      <w:r>
        <w:rPr>
          <w:rFonts w:ascii="Calibri" w:hAnsi="Calibri"/>
        </w:rPr>
        <w:t>“I fell into a stupid sin for the last 3 days”</w:t>
      </w:r>
    </w:p>
    <w:p>
      <w:pPr>
        <w:pStyle w:val="ListBullet"/>
        <w:spacing w:after="60"/>
      </w:pPr>
      <w:r>
        <w:rPr>
          <w:rFonts w:ascii="Calibri" w:hAnsi="Calibri"/>
          <w:b/>
          <w:sz w:val="22"/>
        </w:rPr>
        <w:t xml:space="preserve">Analytical self-assessment: </w:t>
      </w:r>
      <w:r>
        <w:rPr>
          <w:rFonts w:ascii="Calibri" w:hAnsi="Calibri"/>
        </w:rPr>
        <w:t>“I was a slave to my carnal impulses and have fed into them for a very long time”</w:t>
      </w:r>
    </w:p>
    <w:p>
      <w:pPr>
        <w:pStyle w:val="ListBullet"/>
        <w:spacing w:after="60"/>
      </w:pPr>
      <w:r>
        <w:rPr>
          <w:rFonts w:ascii="Calibri" w:hAnsi="Calibri"/>
          <w:b/>
          <w:sz w:val="22"/>
        </w:rPr>
        <w:t xml:space="preserve">Theological reflection: </w:t>
      </w:r>
      <w:r>
        <w:rPr>
          <w:rFonts w:ascii="Calibri" w:hAnsi="Calibri"/>
        </w:rPr>
        <w:t>“The weakness of God is stronger than men”</w:t>
      </w:r>
    </w:p>
    <w:p>
      <w:pPr>
        <w:pStyle w:val="ListBullet"/>
        <w:spacing w:after="60"/>
      </w:pPr>
      <w:r>
        <w:rPr>
          <w:rFonts w:ascii="Calibri" w:hAnsi="Calibri"/>
          <w:b/>
          <w:sz w:val="22"/>
        </w:rPr>
        <w:t xml:space="preserve">Mundane life narration: </w:t>
      </w:r>
      <w:r>
        <w:rPr>
          <w:rFonts w:ascii="Calibri" w:hAnsi="Calibri"/>
        </w:rPr>
        <w:t>“I got ingredients to make this tiktok yogurt parfait which was SO good that I’m shocked”</w:t>
      </w:r>
    </w:p>
    <w:p>
      <w:pPr>
        <w:pStyle w:val="ListBullet"/>
        <w:spacing w:after="60"/>
      </w:pPr>
      <w:r>
        <w:rPr>
          <w:rFonts w:ascii="Calibri" w:hAnsi="Calibri"/>
          <w:b/>
          <w:sz w:val="22"/>
        </w:rPr>
        <w:t xml:space="preserve">Declarative conviction: </w:t>
      </w:r>
      <w:r>
        <w:rPr>
          <w:rFonts w:ascii="Calibri" w:hAnsi="Calibri"/>
        </w:rPr>
        <w:t>“I will become the man God has dreamt me to be”</w:t>
      </w:r>
    </w:p>
    <w:p>
      <w:r>
        <w:rPr>
          <w:rFonts w:ascii="Calibri" w:hAnsi="Calibri"/>
        </w:rPr>
        <w:t xml:space="preserve">This range is remarkable. </w:t>
      </w:r>
      <w:r>
        <w:rPr>
          <w:rFonts w:ascii="Calibri" w:hAnsi="Calibri"/>
          <w:b/>
          <w:color w:val="2E7D32"/>
        </w:rPr>
        <w:t>PRESERVE</w:t>
      </w:r>
      <w:r>
        <w:rPr>
          <w:rFonts w:ascii="Calibri" w:hAnsi="Calibri"/>
        </w:rPr>
        <w:t xml:space="preserve"> the register-switching. It’s what makes his journal voice alive rather than monotone.</w:t>
      </w:r>
    </w:p>
    <w:p>
      <w:pPr>
        <w:pStyle w:val="Heading2"/>
      </w:pPr>
      <w:r>
        <w:t>Structural Habits</w:t>
      </w:r>
    </w:p>
    <w:p>
      <w:pPr>
        <w:pStyle w:val="ListBullet"/>
        <w:spacing w:after="60"/>
      </w:pPr>
      <w:r/>
      <w:r>
        <w:rPr>
          <w:rFonts w:ascii="Calibri" w:hAnsi="Calibri"/>
        </w:rPr>
        <w:t>Stream of consciousness with occasional numbered lists when processing action items</w:t>
      </w:r>
    </w:p>
    <w:p>
      <w:pPr>
        <w:pStyle w:val="ListBullet"/>
        <w:spacing w:after="60"/>
      </w:pPr>
      <w:r/>
      <w:r>
        <w:rPr>
          <w:rFonts w:ascii="Calibri" w:hAnsi="Calibri"/>
        </w:rPr>
        <w:t>No clear openings — he starts where the thought starts</w:t>
      </w:r>
    </w:p>
    <w:p>
      <w:pPr>
        <w:pStyle w:val="ListBullet"/>
        <w:spacing w:after="60"/>
      </w:pPr>
      <w:r/>
      <w:r>
        <w:rPr>
          <w:rFonts w:ascii="Calibri" w:hAnsi="Calibri"/>
        </w:rPr>
        <w:t>Closings tend to be declarations of faith or recommitments: “I will give everything I am to the Lord”</w:t>
      </w:r>
    </w:p>
    <w:p>
      <w:pPr>
        <w:pStyle w:val="ListBullet"/>
        <w:spacing w:after="60"/>
      </w:pPr>
      <w:r/>
      <w:r>
        <w:rPr>
          <w:rFonts w:ascii="Calibri" w:hAnsi="Calibri"/>
        </w:rPr>
        <w:t>The “Fight List” entry (3/17/2025) shows he naturally structures arguments when the stakes are high — 15 numbered points building from theological truth to practical application</w:t>
      </w:r>
    </w:p>
    <w:p>
      <w:pPr>
        <w:pStyle w:val="Heading2"/>
      </w:pPr>
      <w:r>
        <w:t>Rhetorical Moves</w:t>
      </w:r>
    </w:p>
    <w:p>
      <w:r>
        <w:rPr>
          <w:rFonts w:ascii="Calibri" w:hAnsi="Calibri"/>
          <w:b/>
        </w:rPr>
        <w:t xml:space="preserve">Analogies from lived experience. </w:t>
      </w:r>
      <w:r>
        <w:rPr>
          <w:rFonts w:ascii="Calibri" w:hAnsi="Calibri"/>
        </w:rPr>
        <w:t xml:space="preserve">The cancer analogy for Christ’s sacrifice (3/7/2026) — “what if my parents told me... I want you to have cancer for this person” — is raw and powerful. He reaches for concrete, felt experience to make theological abstraction land. </w:t>
      </w:r>
      <w:r>
        <w:rPr>
          <w:rFonts w:ascii="Calibri" w:hAnsi="Calibri"/>
          <w:b/>
          <w:color w:val="2E7D32"/>
        </w:rPr>
        <w:t>PRESERVE.</w:t>
      </w:r>
    </w:p>
    <w:p>
      <w:r>
        <w:rPr>
          <w:rFonts w:ascii="Calibri" w:hAnsi="Calibri"/>
          <w:b/>
        </w:rPr>
        <w:t xml:space="preserve">Self-interrogation. </w:t>
      </w:r>
      <w:r>
        <w:rPr>
          <w:rFonts w:ascii="Calibri" w:hAnsi="Calibri"/>
        </w:rPr>
        <w:t>He asks himself questions mid-stream: “Am I still in a way not allowing God into my life?” “Why does it feel wrong to ask God to be wealthy?” This Socratic tendency is strong writing instinct.</w:t>
      </w:r>
    </w:p>
    <w:p>
      <w:r>
        <w:rPr>
          <w:rFonts w:ascii="Calibri" w:hAnsi="Calibri"/>
          <w:b/>
        </w:rPr>
        <w:t xml:space="preserve">Narrative specificity. </w:t>
      </w:r>
      <w:r>
        <w:rPr>
          <w:rFonts w:ascii="Calibri" w:hAnsi="Calibri"/>
        </w:rPr>
        <w:t xml:space="preserve">He names people (Nick, Daje, Pastor Tommy, Loraine), places (Whole Foods, the chaise), and specific details (6 hours of TikTok, 2 months and 2 days since relapse). This grounds abstract spiritual wrestling in concrete reality. </w:t>
      </w:r>
      <w:r>
        <w:rPr>
          <w:rFonts w:ascii="Calibri" w:hAnsi="Calibri"/>
          <w:b/>
          <w:color w:val="2E7D32"/>
        </w:rPr>
        <w:t>PRESERVE.</w:t>
      </w:r>
    </w:p>
    <w:p>
      <w:pPr>
        <w:pStyle w:val="Heading2"/>
      </w:pPr>
      <w:r>
        <w:t>Humor Patterns</w:t>
      </w:r>
    </w:p>
    <w:p>
      <w:r>
        <w:t>Humor appears even in deeply serious entries:</w:t>
      </w:r>
    </w:p>
    <w:p>
      <w:pPr>
        <w:pStyle w:val="ListBullet"/>
        <w:spacing w:after="60"/>
      </w:pPr>
      <w:r/>
      <w:r>
        <w:rPr>
          <w:rFonts w:ascii="Calibri" w:hAnsi="Calibri"/>
        </w:rPr>
        <w:t>“I actually clapped lol” (remembering the word “voracious”)</w:t>
      </w:r>
    </w:p>
    <w:p>
      <w:pPr>
        <w:pStyle w:val="ListBullet"/>
        <w:spacing w:after="60"/>
      </w:pPr>
      <w:r/>
      <w:r>
        <w:rPr>
          <w:rFonts w:ascii="Calibri" w:hAnsi="Calibri"/>
        </w:rPr>
        <w:t>“my brain was shot from oversleeping and literally had goldfish brain”</w:t>
      </w:r>
    </w:p>
    <w:p>
      <w:pPr>
        <w:pStyle w:val="ListBullet"/>
        <w:spacing w:after="60"/>
      </w:pPr>
      <w:r/>
      <w:r>
        <w:rPr>
          <w:rFonts w:ascii="Calibri" w:hAnsi="Calibri"/>
        </w:rPr>
        <w:t>“Cooking is kinda fun but it requires a lot of dish washing lol”</w:t>
      </w:r>
    </w:p>
    <w:p>
      <w:pPr>
        <w:pStyle w:val="ListBullet"/>
        <w:spacing w:after="60"/>
      </w:pPr>
      <w:r/>
      <w:r>
        <w:rPr>
          <w:rFonts w:ascii="Calibri" w:hAnsi="Calibri"/>
        </w:rPr>
        <w:t>“God is like you imbeciles. I mean, he’s not — you foolish people”</w:t>
      </w:r>
    </w:p>
    <w:p>
      <w:r>
        <w:t>The humor is always self-deprecating or parenthetical — it breaks tension without undermining seriousness. He never uses humor to avoid a hard truth. PRESERVE.</w:t>
      </w:r>
    </w:p>
    <w:p>
      <w:pPr>
        <w:pStyle w:val="Heading2"/>
      </w:pPr>
      <w:r>
        <w:t>Peterson Gaps</w:t>
      </w:r>
    </w:p>
    <w:p>
      <w:pPr>
        <w:pStyle w:val="ListBullet"/>
        <w:spacing w:after="60"/>
      </w:pPr>
      <w:r>
        <w:rPr>
          <w:rFonts w:ascii="Calibri" w:hAnsi="Calibri"/>
          <w:b/>
          <w:sz w:val="22"/>
        </w:rPr>
        <w:t xml:space="preserve">Paragraph structure. </w:t>
      </w:r>
      <w:r>
        <w:rPr>
          <w:rFonts w:ascii="Calibri" w:hAnsi="Calibri"/>
        </w:rPr>
        <w:t>Journal entries are often single massive blocks. Even as raw writing, breaking into paragraphs at natural thought-shifts would improve readability and thinking clarity.</w:t>
      </w:r>
    </w:p>
    <w:p>
      <w:pPr>
        <w:pStyle w:val="ListBullet"/>
        <w:spacing w:after="60"/>
      </w:pPr>
      <w:r>
        <w:rPr>
          <w:rFonts w:ascii="Calibri" w:hAnsi="Calibri"/>
          <w:b/>
          <w:sz w:val="22"/>
        </w:rPr>
        <w:t xml:space="preserve">Repetition without progression. </w:t>
      </w:r>
      <w:r>
        <w:rPr>
          <w:rFonts w:ascii="Calibri" w:hAnsi="Calibri"/>
        </w:rPr>
        <w:t>Some entries restate the same point 3–4 ways without advancing it. The Fight List is powerful through #10, then starts repeating. Peterson: “if removing a sentence doesn’t lose information, remove it.”</w:t>
      </w:r>
    </w:p>
    <w:p>
      <w:pPr>
        <w:pStyle w:val="ListBullet"/>
        <w:spacing w:after="60"/>
      </w:pPr>
      <w:r>
        <w:rPr>
          <w:rFonts w:ascii="Calibri" w:hAnsi="Calibri"/>
          <w:b/>
          <w:sz w:val="22"/>
        </w:rPr>
        <w:t xml:space="preserve">Transition discipline. </w:t>
      </w:r>
      <w:r>
        <w:rPr>
          <w:rFonts w:ascii="Calibri" w:hAnsi="Calibri"/>
        </w:rPr>
        <w:t>“Anyhow” is doing too much work. When he shifts topics (from God’s mercy to yogurt parfaits), the shift is jarring. A deliberate transition or a clean section break would serve better.</w:t>
      </w:r>
    </w:p>
    <w:p>
      <w:pPr>
        <w:pStyle w:val="ListBullet"/>
        <w:spacing w:after="60"/>
      </w:pPr>
      <w:r>
        <w:rPr>
          <w:rFonts w:ascii="Calibri" w:hAnsi="Calibri"/>
          <w:b/>
          <w:sz w:val="22"/>
        </w:rPr>
        <w:t xml:space="preserve">Sentences that don’t say what they mean. </w:t>
      </w:r>
      <w:r>
        <w:rPr>
          <w:rFonts w:ascii="Calibri" w:hAnsi="Calibri"/>
        </w:rPr>
        <w:t>“Something that I am currently going through is trying to understand where I am in my life in season” — this is throat-clearing. The real sentence is: “I’m trying to understand what season of life I’m in.”</w:t>
      </w:r>
    </w:p>
    <w:p>
      <w:pPr>
        <w:spacing w:after="40"/>
      </w:pPr>
      <w:r>
        <w:rPr>
          <w:rFonts w:ascii="Calibri" w:hAnsi="Calibri"/>
          <w:b/>
          <w:caps/>
          <w:color w:val="2E5090"/>
          <w:sz w:val="18"/>
        </w:rPr>
        <w:t>VOCAB DB WORDS FOUND NATURALLY</w:t>
      </w:r>
    </w:p>
    <w:p>
      <w:r>
        <w:t>“cognizant,” “assuaging,” “voracious” (explicitly celebrated remembering it), “transgress,” “complacent,” “frivolously,” “squander”</w:t>
      </w:r>
    </w:p>
    <w:p>
      <w:r>
        <w:br w:type="page"/>
      </w:r>
    </w:p>
    <w:p>
      <w:pPr>
        <w:pStyle w:val="Heading1"/>
      </w:pPr>
      <w:r>
        <w:t>Summary: Strengths to Preserve</w:t>
      </w:r>
    </w:p>
    <w:p>
      <w:pPr>
        <w:pStyle w:val="ListBullet"/>
        <w:spacing w:after="60"/>
      </w:pPr>
      <w:r/>
      <w:r>
        <w:rPr>
          <w:rFonts w:ascii="Calibri" w:hAnsi="Calibri"/>
        </w:rPr>
        <w:t>Conviction — he writes like he means it, always</w:t>
      </w:r>
    </w:p>
    <w:p>
      <w:pPr>
        <w:pStyle w:val="ListBullet"/>
        <w:spacing w:after="60"/>
      </w:pPr>
      <w:r/>
      <w:r>
        <w:rPr>
          <w:rFonts w:ascii="Calibri" w:hAnsi="Calibri"/>
        </w:rPr>
        <w:t>Emotional sentence rhythm variation (strongest in journal, needs to transfer to other modes)</w:t>
      </w:r>
    </w:p>
    <w:p>
      <w:pPr>
        <w:pStyle w:val="ListBullet"/>
        <w:spacing w:after="60"/>
      </w:pPr>
      <w:r/>
      <w:r>
        <w:rPr>
          <w:rFonts w:ascii="Calibri" w:hAnsi="Calibri"/>
        </w:rPr>
        <w:t>Concrete specificity — names, numbers, details</w:t>
      </w:r>
    </w:p>
    <w:p>
      <w:pPr>
        <w:pStyle w:val="ListBullet"/>
        <w:spacing w:after="60"/>
      </w:pPr>
      <w:r/>
      <w:r>
        <w:rPr>
          <w:rFonts w:ascii="Calibri" w:hAnsi="Calibri"/>
        </w:rPr>
        <w:t>Self-interrogation — asking himself hard questions</w:t>
      </w:r>
    </w:p>
    <w:p>
      <w:pPr>
        <w:pStyle w:val="ListBullet"/>
        <w:spacing w:after="60"/>
      </w:pPr>
      <w:r/>
      <w:r>
        <w:rPr>
          <w:rFonts w:ascii="Calibri" w:hAnsi="Calibri"/>
        </w:rPr>
        <w:t>Register code-switching — theological + casual in the same breath</w:t>
      </w:r>
    </w:p>
    <w:p>
      <w:pPr>
        <w:pStyle w:val="ListBullet"/>
        <w:spacing w:after="60"/>
      </w:pPr>
      <w:r/>
      <w:r>
        <w:rPr>
          <w:rFonts w:ascii="Calibri" w:hAnsi="Calibri"/>
        </w:rPr>
        <w:t>Tricolon closings in academic mode</w:t>
      </w:r>
    </w:p>
    <w:p>
      <w:pPr>
        <w:pStyle w:val="ListBullet"/>
        <w:spacing w:after="60"/>
      </w:pPr>
      <w:r/>
      <w:r>
        <w:rPr>
          <w:rFonts w:ascii="Calibri" w:hAnsi="Calibri"/>
        </w:rPr>
        <w:t>Quantified evidence in professional mode</w:t>
      </w:r>
    </w:p>
    <w:p>
      <w:pPr>
        <w:pStyle w:val="ListBullet"/>
        <w:spacing w:after="60"/>
      </w:pPr>
      <w:r/>
      <w:r>
        <w:rPr>
          <w:rFonts w:ascii="Calibri" w:hAnsi="Calibri"/>
        </w:rPr>
        <w:t>Analogies from lived experience</w:t>
      </w:r>
    </w:p>
    <w:p>
      <w:pPr>
        <w:pBdr>
          <w:bottom w:val="single" w:sz="6" w:space="1" w:color="CCCCCC"/>
        </w:pBdr>
      </w:pPr>
    </w:p>
    <w:p>
      <w:pPr>
        <w:pStyle w:val="Heading1"/>
      </w:pPr>
      <w:r>
        <w:t>Summary: Rough Edges to Refine</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fill="1A1A2E" w:val="clear"/>
          </w:tcPr>
          <w:p>
            <w:pPr>
              <w:jc w:val="center"/>
            </w:pPr>
            <w:r/>
            <w:r>
              <w:rPr>
                <w:rFonts w:ascii="Calibri" w:hAnsi="Calibri"/>
                <w:b/>
                <w:color w:val="FFFFFF"/>
                <w:sz w:val="20"/>
              </w:rPr>
              <w:t>Rough Edge</w:t>
            </w:r>
          </w:p>
        </w:tc>
        <w:tc>
          <w:tcPr>
            <w:tcW w:type="dxa" w:w="2592"/>
            <w:shd w:fill="1A1A2E" w:val="clear"/>
          </w:tcPr>
          <w:p>
            <w:pPr>
              <w:jc w:val="center"/>
            </w:pPr>
            <w:r/>
            <w:r>
              <w:rPr>
                <w:rFonts w:ascii="Calibri" w:hAnsi="Calibri"/>
                <w:b/>
                <w:color w:val="FFFFFF"/>
                <w:sz w:val="20"/>
              </w:rPr>
              <w:t>Where</w:t>
            </w:r>
          </w:p>
        </w:tc>
        <w:tc>
          <w:tcPr>
            <w:tcW w:type="dxa" w:w="4032"/>
            <w:shd w:fill="1A1A2E" w:val="clear"/>
          </w:tcPr>
          <w:p>
            <w:pPr>
              <w:jc w:val="center"/>
            </w:pPr>
            <w:r/>
            <w:r>
              <w:rPr>
                <w:rFonts w:ascii="Calibri" w:hAnsi="Calibri"/>
                <w:b/>
                <w:color w:val="FFFFFF"/>
                <w:sz w:val="20"/>
              </w:rPr>
              <w:t>Peterson Principle</w:t>
            </w:r>
          </w:p>
        </w:tc>
      </w:tr>
      <w:tr>
        <w:tc>
          <w:tcPr>
            <w:tcW w:type="dxa" w:w="3168"/>
            <w:shd w:fill="F5F5F5" w:val="clear"/>
          </w:tcPr>
          <w:p>
            <w:r/>
            <w:r>
              <w:rPr>
                <w:rFonts w:ascii="Calibri" w:hAnsi="Calibri"/>
                <w:sz w:val="20"/>
              </w:rPr>
              <w:t>Uniform sentence length</w:t>
            </w:r>
          </w:p>
        </w:tc>
        <w:tc>
          <w:tcPr>
            <w:tcW w:type="dxa" w:w="2592"/>
            <w:shd w:fill="F5F5F5" w:val="clear"/>
          </w:tcPr>
          <w:p>
            <w:r/>
            <w:r>
              <w:rPr>
                <w:rFonts w:ascii="Calibri" w:hAnsi="Calibri"/>
                <w:sz w:val="20"/>
              </w:rPr>
              <w:t>Academic, Professional</w:t>
            </w:r>
          </w:p>
        </w:tc>
        <w:tc>
          <w:tcPr>
            <w:tcW w:type="dxa" w:w="4032"/>
            <w:shd w:fill="F5F5F5" w:val="clear"/>
          </w:tcPr>
          <w:p>
            <w:r/>
            <w:r>
              <w:rPr>
                <w:rFonts w:ascii="Calibri" w:hAnsi="Calibri"/>
                <w:sz w:val="20"/>
              </w:rPr>
              <w:t>Mix sentence lengths deliberately</w:t>
            </w:r>
          </w:p>
        </w:tc>
      </w:tr>
      <w:tr>
        <w:tc>
          <w:tcPr>
            <w:tcW w:type="dxa" w:w="3168"/>
          </w:tcPr>
          <w:p>
            <w:r/>
            <w:r>
              <w:rPr>
                <w:rFonts w:ascii="Calibri" w:hAnsi="Calibri"/>
                <w:sz w:val="20"/>
              </w:rPr>
              <w:t>Throat-clearing openings</w:t>
            </w:r>
          </w:p>
        </w:tc>
        <w:tc>
          <w:tcPr>
            <w:tcW w:type="dxa" w:w="2592"/>
          </w:tcPr>
          <w:p>
            <w:r/>
            <w:r>
              <w:rPr>
                <w:rFonts w:ascii="Calibri" w:hAnsi="Calibri"/>
                <w:sz w:val="20"/>
              </w:rPr>
              <w:t>Academic, Journal</w:t>
            </w:r>
          </w:p>
        </w:tc>
        <w:tc>
          <w:tcPr>
            <w:tcW w:type="dxa" w:w="4032"/>
          </w:tcPr>
          <w:p>
            <w:r/>
            <w:r>
              <w:rPr>
                <w:rFonts w:ascii="Calibri" w:hAnsi="Calibri"/>
                <w:sz w:val="20"/>
              </w:rPr>
              <w:t>Edit ruthlessly — start with the real claim</w:t>
            </w:r>
          </w:p>
        </w:tc>
      </w:tr>
      <w:tr>
        <w:tc>
          <w:tcPr>
            <w:tcW w:type="dxa" w:w="3168"/>
            <w:shd w:fill="F5F5F5" w:val="clear"/>
          </w:tcPr>
          <w:p>
            <w:r/>
            <w:r>
              <w:rPr>
                <w:rFonts w:ascii="Calibri" w:hAnsi="Calibri"/>
                <w:sz w:val="20"/>
              </w:rPr>
              <w:t>Wall-of-text paragraphs</w:t>
            </w:r>
          </w:p>
        </w:tc>
        <w:tc>
          <w:tcPr>
            <w:tcW w:type="dxa" w:w="2592"/>
            <w:shd w:fill="F5F5F5" w:val="clear"/>
          </w:tcPr>
          <w:p>
            <w:r/>
            <w:r>
              <w:rPr>
                <w:rFonts w:ascii="Calibri" w:hAnsi="Calibri"/>
                <w:sz w:val="20"/>
              </w:rPr>
              <w:t>Professional, Journal</w:t>
            </w:r>
          </w:p>
        </w:tc>
        <w:tc>
          <w:tcPr>
            <w:tcW w:type="dxa" w:w="4032"/>
            <w:shd w:fill="F5F5F5" w:val="clear"/>
          </w:tcPr>
          <w:p>
            <w:r/>
            <w:r>
              <w:rPr>
                <w:rFonts w:ascii="Calibri" w:hAnsi="Calibri"/>
                <w:sz w:val="20"/>
              </w:rPr>
              <w:t>One point per paragraph</w:t>
            </w:r>
          </w:p>
        </w:tc>
      </w:tr>
      <w:tr>
        <w:tc>
          <w:tcPr>
            <w:tcW w:type="dxa" w:w="3168"/>
          </w:tcPr>
          <w:p>
            <w:r/>
            <w:r>
              <w:rPr>
                <w:rFonts w:ascii="Calibri" w:hAnsi="Calibri"/>
                <w:sz w:val="20"/>
              </w:rPr>
              <w:t>Restating what evidence already said</w:t>
            </w:r>
          </w:p>
        </w:tc>
        <w:tc>
          <w:tcPr>
            <w:tcW w:type="dxa" w:w="2592"/>
          </w:tcPr>
          <w:p>
            <w:r/>
            <w:r>
              <w:rPr>
                <w:rFonts w:ascii="Calibri" w:hAnsi="Calibri"/>
                <w:sz w:val="20"/>
              </w:rPr>
              <w:t>Academic</w:t>
            </w:r>
          </w:p>
        </w:tc>
        <w:tc>
          <w:tcPr>
            <w:tcW w:type="dxa" w:w="4032"/>
          </w:tcPr>
          <w:p>
            <w:r/>
            <w:r>
              <w:rPr>
                <w:rFonts w:ascii="Calibri" w:hAnsi="Calibri"/>
                <w:sz w:val="20"/>
              </w:rPr>
              <w:t>If removing doesn’t lose info, remove</w:t>
            </w:r>
          </w:p>
        </w:tc>
      </w:tr>
      <w:tr>
        <w:tc>
          <w:tcPr>
            <w:tcW w:type="dxa" w:w="3168"/>
            <w:shd w:fill="F5F5F5" w:val="clear"/>
          </w:tcPr>
          <w:p>
            <w:r/>
            <w:r>
              <w:rPr>
                <w:rFonts w:ascii="Calibri" w:hAnsi="Calibri"/>
                <w:sz w:val="20"/>
              </w:rPr>
              <w:t>Corporate filler words</w:t>
            </w:r>
          </w:p>
        </w:tc>
        <w:tc>
          <w:tcPr>
            <w:tcW w:type="dxa" w:w="2592"/>
            <w:shd w:fill="F5F5F5" w:val="clear"/>
          </w:tcPr>
          <w:p>
            <w:r/>
            <w:r>
              <w:rPr>
                <w:rFonts w:ascii="Calibri" w:hAnsi="Calibri"/>
                <w:sz w:val="20"/>
              </w:rPr>
              <w:t>Professional</w:t>
            </w:r>
          </w:p>
        </w:tc>
        <w:tc>
          <w:tcPr>
            <w:tcW w:type="dxa" w:w="4032"/>
            <w:shd w:fill="F5F5F5" w:val="clear"/>
          </w:tcPr>
          <w:p>
            <w:r/>
            <w:r>
              <w:rPr>
                <w:rFonts w:ascii="Calibri" w:hAnsi="Calibri"/>
                <w:sz w:val="20"/>
              </w:rPr>
              <w:t>Every word must be precisely the right word</w:t>
            </w:r>
          </w:p>
        </w:tc>
      </w:tr>
      <w:tr>
        <w:tc>
          <w:tcPr>
            <w:tcW w:type="dxa" w:w="3168"/>
          </w:tcPr>
          <w:p>
            <w:r/>
            <w:r>
              <w:rPr>
                <w:rFonts w:ascii="Calibri" w:hAnsi="Calibri"/>
                <w:sz w:val="20"/>
              </w:rPr>
              <w:t>“Anyhow” as universal transition</w:t>
            </w:r>
          </w:p>
        </w:tc>
        <w:tc>
          <w:tcPr>
            <w:tcW w:type="dxa" w:w="2592"/>
          </w:tcPr>
          <w:p>
            <w:r/>
            <w:r>
              <w:rPr>
                <w:rFonts w:ascii="Calibri" w:hAnsi="Calibri"/>
                <w:sz w:val="20"/>
              </w:rPr>
              <w:t>Journal</w:t>
            </w:r>
          </w:p>
        </w:tc>
        <w:tc>
          <w:tcPr>
            <w:tcW w:type="dxa" w:w="4032"/>
          </w:tcPr>
          <w:p>
            <w:r/>
            <w:r>
              <w:rPr>
                <w:rFonts w:ascii="Calibri" w:hAnsi="Calibri"/>
                <w:sz w:val="20"/>
              </w:rPr>
              <w:t>Deliberate transitions or clean breaks</w:t>
            </w:r>
          </w:p>
        </w:tc>
      </w:tr>
      <w:tr>
        <w:tc>
          <w:tcPr>
            <w:tcW w:type="dxa" w:w="3168"/>
            <w:shd w:fill="F5F5F5" w:val="clear"/>
          </w:tcPr>
          <w:p>
            <w:r/>
            <w:r>
              <w:rPr>
                <w:rFonts w:ascii="Calibri" w:hAnsi="Calibri"/>
                <w:sz w:val="20"/>
              </w:rPr>
              <w:t>Repetition without progression</w:t>
            </w:r>
          </w:p>
        </w:tc>
        <w:tc>
          <w:tcPr>
            <w:tcW w:type="dxa" w:w="2592"/>
            <w:shd w:fill="F5F5F5" w:val="clear"/>
          </w:tcPr>
          <w:p>
            <w:r/>
            <w:r>
              <w:rPr>
                <w:rFonts w:ascii="Calibri" w:hAnsi="Calibri"/>
                <w:sz w:val="20"/>
              </w:rPr>
              <w:t>Journal (Fight List)</w:t>
            </w:r>
          </w:p>
        </w:tc>
        <w:tc>
          <w:tcPr>
            <w:tcW w:type="dxa" w:w="4032"/>
            <w:shd w:fill="F5F5F5" w:val="clear"/>
          </w:tcPr>
          <w:p>
            <w:r/>
            <w:r>
              <w:rPr>
                <w:rFonts w:ascii="Calibri" w:hAnsi="Calibri"/>
                <w:sz w:val="20"/>
              </w:rPr>
              <w:t>Organize, then cut</w:t>
            </w:r>
          </w:p>
        </w:tc>
      </w:tr>
      <w:tr>
        <w:tc>
          <w:tcPr>
            <w:tcW w:type="dxa" w:w="3168"/>
          </w:tcPr>
          <w:p>
            <w:r/>
            <w:r>
              <w:rPr>
                <w:rFonts w:ascii="Calibri" w:hAnsi="Calibri"/>
                <w:sz w:val="20"/>
              </w:rPr>
              <w:t>Sentences that don’t say what they mean</w:t>
            </w:r>
          </w:p>
        </w:tc>
        <w:tc>
          <w:tcPr>
            <w:tcW w:type="dxa" w:w="2592"/>
          </w:tcPr>
          <w:p>
            <w:r/>
            <w:r>
              <w:rPr>
                <w:rFonts w:ascii="Calibri" w:hAnsi="Calibri"/>
                <w:sz w:val="20"/>
              </w:rPr>
              <w:t>Journal</w:t>
            </w:r>
          </w:p>
        </w:tc>
        <w:tc>
          <w:tcPr>
            <w:tcW w:type="dxa" w:w="4032"/>
          </w:tcPr>
          <w:p>
            <w:r/>
            <w:r>
              <w:rPr>
                <w:rFonts w:ascii="Calibri" w:hAnsi="Calibri"/>
                <w:sz w:val="20"/>
              </w:rPr>
              <w:t>Write precisely — say what you actually mean</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120"/>
      <w:ind w:left="850"/>
    </w:pPr>
    <w:rPr>
      <w:rFonts w:ascii="Calibri" w:hAnsi="Calibri"/>
      <w:i/>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