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0B7A52"/>
          <w:spacing w:val="16"/>
          <w:sz w:val="19"/>
          <w:szCs w:val="19"/>
        </w:rPr>
        <w:t xml:space="preserve">DOCUMENTO DE REQUERIMIENTOS</w:t>
      </w:r>
    </w:p>
    <w:p>
      <w:pPr>
        <w:spacing w:after="100"/>
      </w:pPr>
      <w:r>
        <w:rPr>
          <w:rFonts w:ascii="Cambria" w:cs="Cambria" w:eastAsia="Cambria" w:hAnsi="Cambria"/>
          <w:b/>
          <w:bCs/>
          <w:color w:val="1B2338"/>
          <w:sz w:val="44"/>
          <w:szCs w:val="44"/>
        </w:rPr>
        <w:t xml:space="preserve">Módulo interactivo Red Team vs Blue Team</w:t>
      </w:r>
    </w:p>
    <w:p>
      <w:pPr>
        <w:spacing w:after="280"/>
      </w:pPr>
      <w:r>
        <w:rPr>
          <w:rFonts w:ascii="Cambria" w:cs="Cambria" w:eastAsia="Cambria" w:hAnsi="Cambria"/>
          <w:i/>
          <w:iCs/>
          <w:color w:val="0B7A52"/>
          <w:sz w:val="26"/>
          <w:szCs w:val="26"/>
        </w:rPr>
        <w:t xml:space="preserve">Dinámica de ataque y defensa para el taller “CSI Digital”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F2F4F7" w:val="clear"/>
            <w:tcMar>
              <w:top w:type="dxa" w:w="90"/>
              <w:left w:type="dxa" w:w="110"/>
              <w:bottom w:type="dxa" w:w="90"/>
              <w:right w:type="dxa" w:w="110"/>
            </w:tcMar>
            <w:vAlign w:val="center"/>
          </w:tcPr>
          <w:p>
            <w:pPr>
              <w:jc w:val="left"/>
            </w:pPr>
            <w:r>
              <w:rPr>
                <w:rFonts w:ascii="Calibri" w:cs="Calibri" w:eastAsia="Calibri" w:hAnsi="Calibri"/>
                <w:b/>
                <w:bCs/>
                <w:color w:val="1B2338"/>
                <w:sz w:val="19"/>
                <w:szCs w:val="19"/>
              </w:rPr>
              <w:t xml:space="preserve">Cliente</w:t>
            </w:r>
          </w:p>
        </w:tc>
        <w:tc>
          <w:tcPr>
            <w:tcW w:type="dxa" w:w="7000"/>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Antigravity</w:t>
            </w:r>
          </w:p>
        </w:tc>
      </w:tr>
      <w:tr>
        <w:tc>
          <w:tcPr>
            <w:tcW w:type="dxa" w:w="2600"/>
            <w:shd w:fill="F2F4F7" w:val="clear"/>
            <w:tcMar>
              <w:top w:type="dxa" w:w="90"/>
              <w:left w:type="dxa" w:w="110"/>
              <w:bottom w:type="dxa" w:w="90"/>
              <w:right w:type="dxa" w:w="110"/>
            </w:tcMar>
            <w:vAlign w:val="center"/>
          </w:tcPr>
          <w:p>
            <w:pPr>
              <w:jc w:val="left"/>
            </w:pPr>
            <w:r>
              <w:rPr>
                <w:rFonts w:ascii="Calibri" w:cs="Calibri" w:eastAsia="Calibri" w:hAnsi="Calibri"/>
                <w:b/>
                <w:bCs/>
                <w:color w:val="1B2338"/>
                <w:sz w:val="19"/>
                <w:szCs w:val="19"/>
              </w:rPr>
              <w:t xml:space="preserve">Producto</w:t>
            </w:r>
          </w:p>
        </w:tc>
        <w:tc>
          <w:tcPr>
            <w:tcW w:type="dxa" w:w="7000"/>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Plataforma web de soporte para dinámicas de ciberseguridad escolares</w:t>
            </w:r>
          </w:p>
        </w:tc>
      </w:tr>
      <w:tr>
        <w:tc>
          <w:tcPr>
            <w:tcW w:type="dxa" w:w="2600"/>
            <w:shd w:fill="F2F4F7" w:val="clear"/>
            <w:tcMar>
              <w:top w:type="dxa" w:w="90"/>
              <w:left w:type="dxa" w:w="110"/>
              <w:bottom w:type="dxa" w:w="90"/>
              <w:right w:type="dxa" w:w="110"/>
            </w:tcMar>
            <w:vAlign w:val="center"/>
          </w:tcPr>
          <w:p>
            <w:pPr>
              <w:jc w:val="left"/>
            </w:pPr>
            <w:r>
              <w:rPr>
                <w:rFonts w:ascii="Calibri" w:cs="Calibri" w:eastAsia="Calibri" w:hAnsi="Calibri"/>
                <w:b/>
                <w:bCs/>
                <w:color w:val="1B2338"/>
                <w:sz w:val="19"/>
                <w:szCs w:val="19"/>
              </w:rPr>
              <w:t xml:space="preserve">Documento</w:t>
            </w:r>
          </w:p>
        </w:tc>
        <w:tc>
          <w:tcPr>
            <w:tcW w:type="dxa" w:w="7000"/>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Requerimientos funcionales y no funcionales — v1.0</w:t>
            </w:r>
          </w:p>
        </w:tc>
      </w:tr>
      <w:tr>
        <w:tc>
          <w:tcPr>
            <w:tcW w:type="dxa" w:w="2600"/>
            <w:shd w:fill="F2F4F7" w:val="clear"/>
            <w:tcMar>
              <w:top w:type="dxa" w:w="90"/>
              <w:left w:type="dxa" w:w="110"/>
              <w:bottom w:type="dxa" w:w="90"/>
              <w:right w:type="dxa" w:w="110"/>
            </w:tcMar>
            <w:vAlign w:val="center"/>
          </w:tcPr>
          <w:p>
            <w:pPr>
              <w:jc w:val="left"/>
            </w:pPr>
            <w:r>
              <w:rPr>
                <w:rFonts w:ascii="Calibri" w:cs="Calibri" w:eastAsia="Calibri" w:hAnsi="Calibri"/>
                <w:b/>
                <w:bCs/>
                <w:color w:val="1B2338"/>
                <w:sz w:val="19"/>
                <w:szCs w:val="19"/>
              </w:rPr>
              <w:t xml:space="preserve">Fecha</w:t>
            </w:r>
          </w:p>
        </w:tc>
        <w:tc>
          <w:tcPr>
            <w:tcW w:type="dxa" w:w="7000"/>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13 de agosto de 2026</w:t>
            </w:r>
          </w:p>
        </w:tc>
      </w:tr>
      <w:tr>
        <w:tc>
          <w:tcPr>
            <w:tcW w:type="dxa" w:w="2600"/>
            <w:shd w:fill="F2F4F7" w:val="clear"/>
            <w:tcMar>
              <w:top w:type="dxa" w:w="90"/>
              <w:left w:type="dxa" w:w="110"/>
              <w:bottom w:type="dxa" w:w="90"/>
              <w:right w:type="dxa" w:w="110"/>
            </w:tcMar>
            <w:vAlign w:val="center"/>
          </w:tcPr>
          <w:p>
            <w:pPr>
              <w:jc w:val="left"/>
            </w:pPr>
            <w:r>
              <w:rPr>
                <w:rFonts w:ascii="Calibri" w:cs="Calibri" w:eastAsia="Calibri" w:hAnsi="Calibri"/>
                <w:b/>
                <w:bCs/>
                <w:color w:val="1B2338"/>
                <w:sz w:val="19"/>
                <w:szCs w:val="19"/>
              </w:rPr>
              <w:t xml:space="preserve">Origen</w:t>
            </w:r>
          </w:p>
        </w:tc>
        <w:tc>
          <w:tcPr>
            <w:tcW w:type="dxa" w:w="7000"/>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Deck “CSI Digital: el ataque a la escuela” (taller de 90 minutos, Bloque 4)</w:t>
            </w:r>
          </w:p>
        </w:tc>
      </w:tr>
    </w:tbl>
    <w:p>
      <w:pPr>
        <w:pStyle w:val="Heading1"/>
        <w:pBdr>
          <w:bottom w:val="single" w:color="0F9D68" w:sz="6" w:space="4"/>
        </w:pBdr>
        <w:spacing w:after="200" w:before="420"/>
      </w:pPr>
      <w:r>
        <w:rPr>
          <w:rFonts w:ascii="Cambria" w:cs="Cambria" w:eastAsia="Cambria" w:hAnsi="Cambria"/>
          <w:b/>
          <w:bCs/>
          <w:color w:val="1B2338"/>
          <w:sz w:val="30"/>
          <w:szCs w:val="30"/>
        </w:rPr>
        <w:t xml:space="preserve">1. Contexto y objetivo</w:t>
      </w:r>
    </w:p>
    <w:p>
      <w:pPr>
        <w:spacing w:after="160" w:line="276"/>
      </w:pPr>
      <w:r>
        <w:rPr>
          <w:rFonts w:ascii="Calibri" w:cs="Calibri" w:eastAsia="Calibri" w:hAnsi="Calibri"/>
          <w:b w:val="false"/>
          <w:bCs w:val="false"/>
          <w:i w:val="false"/>
          <w:iCs w:val="false"/>
          <w:color w:val="1B2338"/>
          <w:sz w:val="21"/>
          <w:szCs w:val="21"/>
        </w:rPr>
        <w:t xml:space="preserve">El taller “CSI Digital” incluye una dinámica de 35 minutos en la que el curso se divide en grupos de 4 o 5 alumnos, cada uno asignado a un rol: Red Team (atacantes) o Blue Team (defensores). Ambos equipos trabajan sobre el mismo material — hoy, un correo de phishing simulado — pero con consignas opuestas: el Red Team explica cómo armaría el engaño y el Blue Team debe encontrar las señales de alerta y proponer una defensa.</w:t>
      </w:r>
    </w:p>
    <w:p>
      <w:pPr>
        <w:spacing w:after="160" w:line="276"/>
      </w:pPr>
      <w:r>
        <w:rPr>
          <w:rFonts w:ascii="Calibri" w:cs="Calibri" w:eastAsia="Calibri" w:hAnsi="Calibri"/>
          <w:b w:val="false"/>
          <w:bCs w:val="false"/>
          <w:i w:val="false"/>
          <w:iCs w:val="false"/>
          <w:color w:val="1B2338"/>
          <w:sz w:val="21"/>
          <w:szCs w:val="21"/>
        </w:rPr>
        <w:t xml:space="preserve">Hoy esta dinámica se resuelve en papel/celular y se agrega manualmente en la puesta en común. El objetivo de este desarrollo es construir una herramienta web liviana que digitalice esa dinámica: reparta el material según el rol de cada grupo, cronometre la actividad, recolecte las respuestas en tiempo real y arme automáticamente la puesta en común y la revelación de respuestas — sin agregar fricción para adolescentes usando el celular en el aula.</w:t>
      </w:r>
    </w:p>
    <w:p>
      <w:pPr>
        <w:spacing w:after="160" w:line="276"/>
      </w:pPr>
      <w:r>
        <w:rPr>
          <w:rFonts w:ascii="Calibri" w:cs="Calibri" w:eastAsia="Calibri" w:hAnsi="Calibri"/>
          <w:b w:val="false"/>
          <w:bCs w:val="false"/>
          <w:i w:val="false"/>
          <w:iCs w:val="false"/>
          <w:color w:val="1B2338"/>
          <w:sz w:val="21"/>
          <w:szCs w:val="21"/>
        </w:rPr>
        <w:t xml:space="preserve">El sistema debe ser agnóstico del contenido: el correo de phishing de hoy es el primer “caso”, pero la herramienta tiene que permitir cargar nuevos casos (otro correo, un chat de WhatsApp, una captura de red social) sin tocar código.</w:t>
      </w:r>
    </w:p>
    <w:p>
      <w:pPr>
        <w:pStyle w:val="Heading1"/>
        <w:pBdr>
          <w:bottom w:val="single" w:color="0F9D68" w:sz="6" w:space="4"/>
        </w:pBdr>
        <w:spacing w:after="200" w:before="420"/>
      </w:pPr>
      <w:r>
        <w:rPr>
          <w:rFonts w:ascii="Cambria" w:cs="Cambria" w:eastAsia="Cambria" w:hAnsi="Cambria"/>
          <w:b/>
          <w:bCs/>
          <w:color w:val="1B2338"/>
          <w:sz w:val="30"/>
          <w:szCs w:val="30"/>
        </w:rPr>
        <w:t xml:space="preserve">2. Alcance</w:t>
      </w:r>
    </w:p>
    <w:p>
      <w:pPr>
        <w:pStyle w:val="Heading2"/>
        <w:spacing w:after="140" w:before="300"/>
      </w:pPr>
      <w:r>
        <w:rPr>
          <w:rFonts w:ascii="Cambria" w:cs="Cambria" w:eastAsia="Cambria" w:hAnsi="Cambria"/>
          <w:b/>
          <w:bCs/>
          <w:color w:val="0B7A52"/>
          <w:sz w:val="24"/>
          <w:szCs w:val="24"/>
        </w:rPr>
        <w:t xml:space="preserve">2.1 Incluido en esta v1</w:t>
      </w:r>
    </w:p>
    <w:p>
      <w:pPr>
        <w:pStyle w:val="ListParagraph"/>
        <w:numPr>
          <w:ilvl w:val="0"/>
          <w:numId w:val="2"/>
        </w:numPr>
        <w:spacing w:after="90"/>
      </w:pPr>
      <w:r>
        <w:rPr>
          <w:rFonts w:ascii="Calibri" w:cs="Calibri" w:eastAsia="Calibri" w:hAnsi="Calibri"/>
          <w:color w:val="1B2338"/>
          <w:sz w:val="21"/>
          <w:szCs w:val="21"/>
        </w:rPr>
        <w:t xml:space="preserve">Creación de una sesión de taller por parte del docente/facilitador, con código de acceso corto y QR.</w:t>
      </w:r>
    </w:p>
    <w:p>
      <w:pPr>
        <w:pStyle w:val="ListParagraph"/>
        <w:numPr>
          <w:ilvl w:val="0"/>
          <w:numId w:val="2"/>
        </w:numPr>
        <w:spacing w:after="90"/>
      </w:pPr>
      <w:r>
        <w:rPr>
          <w:rFonts w:ascii="Calibri" w:cs="Calibri" w:eastAsia="Calibri" w:hAnsi="Calibri"/>
          <w:color w:val="1B2338"/>
          <w:sz w:val="21"/>
          <w:szCs w:val="21"/>
        </w:rPr>
        <w:t xml:space="preserve">Formación de grupos y asignación de rol (Red Team / Blue Team) — manual o aleatoria.</w:t>
      </w:r>
    </w:p>
    <w:p>
      <w:pPr>
        <w:pStyle w:val="ListParagraph"/>
        <w:numPr>
          <w:ilvl w:val="0"/>
          <w:numId w:val="2"/>
        </w:numPr>
        <w:spacing w:after="90"/>
      </w:pPr>
      <w:r>
        <w:rPr>
          <w:rFonts w:ascii="Calibri" w:cs="Calibri" w:eastAsia="Calibri" w:hAnsi="Calibri"/>
          <w:color w:val="1B2338"/>
          <w:sz w:val="21"/>
          <w:szCs w:val="21"/>
        </w:rPr>
        <w:t xml:space="preserve">Distribución del “caso” (material del ejercicio) diferenciada por rol.</w:t>
      </w:r>
    </w:p>
    <w:p>
      <w:pPr>
        <w:pStyle w:val="ListParagraph"/>
        <w:numPr>
          <w:ilvl w:val="0"/>
          <w:numId w:val="2"/>
        </w:numPr>
        <w:spacing w:after="90"/>
      </w:pPr>
      <w:r>
        <w:rPr>
          <w:rFonts w:ascii="Calibri" w:cs="Calibri" w:eastAsia="Calibri" w:hAnsi="Calibri"/>
          <w:color w:val="1B2338"/>
          <w:sz w:val="21"/>
          <w:szCs w:val="21"/>
        </w:rPr>
        <w:t xml:space="preserve">Cronómetro compartido, visible en la pantalla de cada grupo y en la pantalla de proyección.</w:t>
      </w:r>
    </w:p>
    <w:p>
      <w:pPr>
        <w:pStyle w:val="ListParagraph"/>
        <w:numPr>
          <w:ilvl w:val="0"/>
          <w:numId w:val="2"/>
        </w:numPr>
        <w:spacing w:after="90"/>
      </w:pPr>
      <w:r>
        <w:rPr>
          <w:rFonts w:ascii="Calibri" w:cs="Calibri" w:eastAsia="Calibri" w:hAnsi="Calibri"/>
          <w:color w:val="1B2338"/>
          <w:sz w:val="21"/>
          <w:szCs w:val="21"/>
        </w:rPr>
        <w:t xml:space="preserve">Carga de respuestas por grupo: texto libre (Red Team) y checklist + texto (Blue Team).</w:t>
      </w:r>
    </w:p>
    <w:p>
      <w:pPr>
        <w:pStyle w:val="ListParagraph"/>
        <w:numPr>
          <w:ilvl w:val="0"/>
          <w:numId w:val="2"/>
        </w:numPr>
        <w:spacing w:after="90"/>
      </w:pPr>
      <w:r>
        <w:rPr>
          <w:rFonts w:ascii="Calibri" w:cs="Calibri" w:eastAsia="Calibri" w:hAnsi="Calibri"/>
          <w:color w:val="1B2338"/>
          <w:sz w:val="21"/>
          <w:szCs w:val="21"/>
        </w:rPr>
        <w:t xml:space="preserve">Panel del facilitador con vista en vivo del avance de todos los grupos.</w:t>
      </w:r>
    </w:p>
    <w:p>
      <w:pPr>
        <w:pStyle w:val="ListParagraph"/>
        <w:numPr>
          <w:ilvl w:val="0"/>
          <w:numId w:val="2"/>
        </w:numPr>
        <w:spacing w:after="90"/>
      </w:pPr>
      <w:r>
        <w:rPr>
          <w:rFonts w:ascii="Calibri" w:cs="Calibri" w:eastAsia="Calibri" w:hAnsi="Calibri"/>
          <w:color w:val="1B2338"/>
          <w:sz w:val="21"/>
          <w:szCs w:val="21"/>
        </w:rPr>
        <w:t xml:space="preserve">Pantalla de proyección para la puesta en común y la revelación de respuestas.</w:t>
      </w:r>
    </w:p>
    <w:p>
      <w:pPr>
        <w:pStyle w:val="ListParagraph"/>
        <w:numPr>
          <w:ilvl w:val="0"/>
          <w:numId w:val="2"/>
        </w:numPr>
        <w:spacing w:after="90"/>
      </w:pPr>
      <w:r>
        <w:rPr>
          <w:rFonts w:ascii="Calibri" w:cs="Calibri" w:eastAsia="Calibri" w:hAnsi="Calibri"/>
          <w:color w:val="1B2338"/>
          <w:sz w:val="21"/>
          <w:szCs w:val="21"/>
        </w:rPr>
        <w:t xml:space="preserve">Puntaje básico por velocidad y precisión (gamificación liviana).</w:t>
      </w:r>
    </w:p>
    <w:p>
      <w:pPr>
        <w:pStyle w:val="Heading2"/>
        <w:spacing w:after="140" w:before="300"/>
      </w:pPr>
      <w:r>
        <w:rPr>
          <w:rFonts w:ascii="Cambria" w:cs="Cambria" w:eastAsia="Cambria" w:hAnsi="Cambria"/>
          <w:b/>
          <w:bCs/>
          <w:color w:val="0B7A52"/>
          <w:sz w:val="24"/>
          <w:szCs w:val="24"/>
        </w:rPr>
        <w:t xml:space="preserve">2.2 Fuera de alcance en esta v1</w:t>
      </w:r>
    </w:p>
    <w:p>
      <w:pPr>
        <w:pStyle w:val="ListParagraph"/>
        <w:numPr>
          <w:ilvl w:val="0"/>
          <w:numId w:val="2"/>
        </w:numPr>
        <w:spacing w:after="90"/>
      </w:pPr>
      <w:r>
        <w:rPr>
          <w:rFonts w:ascii="Calibri" w:cs="Calibri" w:eastAsia="Calibri" w:hAnsi="Calibri"/>
          <w:color w:val="1B2338"/>
          <w:sz w:val="21"/>
          <w:szCs w:val="21"/>
        </w:rPr>
        <w:t xml:space="preserve">Login de alumnos con cuenta propia (se usa código de sesión + nombre de grupo, sin registro).</w:t>
      </w:r>
    </w:p>
    <w:p>
      <w:pPr>
        <w:pStyle w:val="ListParagraph"/>
        <w:numPr>
          <w:ilvl w:val="0"/>
          <w:numId w:val="2"/>
        </w:numPr>
        <w:spacing w:after="90"/>
      </w:pPr>
      <w:r>
        <w:rPr>
          <w:rFonts w:ascii="Calibri" w:cs="Calibri" w:eastAsia="Calibri" w:hAnsi="Calibri"/>
          <w:color w:val="1B2338"/>
          <w:sz w:val="21"/>
          <w:szCs w:val="21"/>
        </w:rPr>
        <w:t xml:space="preserve">Autoría de casos con editor visual avanzado (se admite carga por formulario simple o JSON).</w:t>
      </w:r>
    </w:p>
    <w:p>
      <w:pPr>
        <w:pStyle w:val="ListParagraph"/>
        <w:numPr>
          <w:ilvl w:val="0"/>
          <w:numId w:val="2"/>
        </w:numPr>
        <w:spacing w:after="90"/>
      </w:pPr>
      <w:r>
        <w:rPr>
          <w:rFonts w:ascii="Calibri" w:cs="Calibri" w:eastAsia="Calibri" w:hAnsi="Calibri"/>
          <w:color w:val="1B2338"/>
          <w:sz w:val="21"/>
          <w:szCs w:val="21"/>
        </w:rPr>
        <w:t xml:space="preserve">Integración con Kahoot!/Mentimeter (el bloque “Mito o Realidad” sigue usándose por fuera de esta herramienta).</w:t>
      </w:r>
    </w:p>
    <w:p>
      <w:pPr>
        <w:pStyle w:val="ListParagraph"/>
        <w:numPr>
          <w:ilvl w:val="0"/>
          <w:numId w:val="2"/>
        </w:numPr>
        <w:spacing w:after="90"/>
      </w:pPr>
      <w:r>
        <w:rPr>
          <w:rFonts w:ascii="Calibri" w:cs="Calibri" w:eastAsia="Calibri" w:hAnsi="Calibri"/>
          <w:color w:val="1B2338"/>
          <w:sz w:val="21"/>
          <w:szCs w:val="21"/>
        </w:rPr>
        <w:t xml:space="preserve">Analítica histórica multi-taller o multi-colegio (se contempla como posible v2, ver sección 9).</w:t>
      </w:r>
    </w:p>
    <w:p>
      <w:pPr>
        <w:pStyle w:val="Heading1"/>
        <w:pBdr>
          <w:bottom w:val="single" w:color="0F9D68" w:sz="6" w:space="4"/>
        </w:pBdr>
        <w:spacing w:after="200" w:before="420"/>
      </w:pPr>
      <w:r>
        <w:rPr>
          <w:rFonts w:ascii="Cambria" w:cs="Cambria" w:eastAsia="Cambria" w:hAnsi="Cambria"/>
          <w:b/>
          <w:bCs/>
          <w:color w:val="1B2338"/>
          <w:sz w:val="30"/>
          <w:szCs w:val="30"/>
        </w:rPr>
        <w:t xml:space="preserve">3. Actores del sistema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1B2338"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Actor</w:t>
            </w:r>
          </w:p>
        </w:tc>
        <w:tc>
          <w:tcPr>
            <w:tcW w:type="dxa" w:w="7300"/>
            <w:shd w:fill="1B2338"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Descripción</w:t>
            </w:r>
          </w:p>
        </w:tc>
      </w:tr>
      <w:tr>
        <w:tc>
          <w:tcPr>
            <w:tcW w:type="dxa" w:w="2300"/>
            <w:shd w:fill="F2F4F7" w:val="clear"/>
            <w:tcMar>
              <w:top w:type="dxa" w:w="90"/>
              <w:left w:type="dxa" w:w="110"/>
              <w:bottom w:type="dxa" w:w="90"/>
              <w:right w:type="dxa" w:w="110"/>
            </w:tcMar>
            <w:vAlign w:val="center"/>
          </w:tcPr>
          <w:p>
            <w:pPr>
              <w:jc w:val="left"/>
            </w:pPr>
            <w:r>
              <w:rPr>
                <w:rFonts w:ascii="Calibri" w:cs="Calibri" w:eastAsia="Calibri" w:hAnsi="Calibri"/>
                <w:b/>
                <w:bCs/>
                <w:color w:val="1B2338"/>
                <w:sz w:val="19"/>
                <w:szCs w:val="19"/>
              </w:rPr>
              <w:t xml:space="preserve">Facilitador / Docente</w:t>
            </w:r>
          </w:p>
        </w:tc>
        <w:tc>
          <w:tcPr>
            <w:tcW w:type="dxa" w:w="7300"/>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Crea y controla la sesión, define grupos y roles, dispara el cronómetro, ve el avance en vivo y conduce la puesta en común.</w:t>
            </w:r>
          </w:p>
        </w:tc>
      </w:tr>
      <w:tr>
        <w:tc>
          <w:tcPr>
            <w:tcW w:type="dxa" w:w="2300"/>
            <w:shd w:fill="FFFFFF" w:val="clear"/>
            <w:tcMar>
              <w:top w:type="dxa" w:w="90"/>
              <w:left w:type="dxa" w:w="110"/>
              <w:bottom w:type="dxa" w:w="90"/>
              <w:right w:type="dxa" w:w="110"/>
            </w:tcMar>
            <w:vAlign w:val="center"/>
          </w:tcPr>
          <w:p>
            <w:pPr>
              <w:jc w:val="left"/>
            </w:pPr>
            <w:r>
              <w:rPr>
                <w:rFonts w:ascii="Calibri" w:cs="Calibri" w:eastAsia="Calibri" w:hAnsi="Calibri"/>
                <w:b/>
                <w:bCs/>
                <w:color w:val="C0293B"/>
                <w:sz w:val="19"/>
                <w:szCs w:val="19"/>
              </w:rPr>
              <w:t xml:space="preserve">Grupo — Red Team</w:t>
            </w:r>
          </w:p>
        </w:tc>
        <w:tc>
          <w:tcPr>
            <w:tcW w:type="dxa" w:w="7300"/>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Alumnos que acceden desde un celular con el código de sesión, ven la consigna de atacante y documentan su respuesta.</w:t>
            </w:r>
          </w:p>
        </w:tc>
      </w:tr>
      <w:tr>
        <w:tc>
          <w:tcPr>
            <w:tcW w:type="dxa" w:w="2300"/>
            <w:shd w:fill="F2F4F7" w:val="clear"/>
            <w:tcMar>
              <w:top w:type="dxa" w:w="90"/>
              <w:left w:type="dxa" w:w="110"/>
              <w:bottom w:type="dxa" w:w="90"/>
              <w:right w:type="dxa" w:w="110"/>
            </w:tcMar>
            <w:vAlign w:val="center"/>
          </w:tcPr>
          <w:p>
            <w:pPr>
              <w:jc w:val="left"/>
            </w:pPr>
            <w:r>
              <w:rPr>
                <w:rFonts w:ascii="Calibri" w:cs="Calibri" w:eastAsia="Calibri" w:hAnsi="Calibri"/>
                <w:b/>
                <w:bCs/>
                <w:color w:val="2E5FA3"/>
                <w:sz w:val="19"/>
                <w:szCs w:val="19"/>
              </w:rPr>
              <w:t xml:space="preserve">Grupo — Blue Team</w:t>
            </w:r>
          </w:p>
        </w:tc>
        <w:tc>
          <w:tcPr>
            <w:tcW w:type="dxa" w:w="7300"/>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Alumnos que acceden desde un celular con el código de sesión, ven la consigna de defensor, marcan un checklist y escriben recomendaciones.</w:t>
            </w:r>
          </w:p>
        </w:tc>
      </w:tr>
      <w:tr>
        <w:tc>
          <w:tcPr>
            <w:tcW w:type="dxa" w:w="2300"/>
            <w:shd w:fill="FFFFFF" w:val="clear"/>
            <w:tcMar>
              <w:top w:type="dxa" w:w="90"/>
              <w:left w:type="dxa" w:w="110"/>
              <w:bottom w:type="dxa" w:w="90"/>
              <w:right w:type="dxa" w:w="110"/>
            </w:tcMar>
            <w:vAlign w:val="center"/>
          </w:tcPr>
          <w:p>
            <w:pPr>
              <w:jc w:val="left"/>
            </w:pPr>
            <w:r>
              <w:rPr>
                <w:rFonts w:ascii="Calibri" w:cs="Calibri" w:eastAsia="Calibri" w:hAnsi="Calibri"/>
                <w:b/>
                <w:bCs/>
                <w:color w:val="1B2338"/>
                <w:sz w:val="19"/>
                <w:szCs w:val="19"/>
              </w:rPr>
              <w:t xml:space="preserve">Pantalla de proyección</w:t>
            </w:r>
          </w:p>
        </w:tc>
        <w:tc>
          <w:tcPr>
            <w:tcW w:type="dxa" w:w="7300"/>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Vista de solo lectura pensada para TV/proyector: cronómetro grande, código de acceso, luego puesta en común y revelación.</w:t>
            </w:r>
          </w:p>
        </w:tc>
      </w:tr>
    </w:tbl>
    <w:p>
      <w:pPr>
        <w:pStyle w:val="Heading1"/>
        <w:pBdr>
          <w:bottom w:val="single" w:color="0F9D68" w:sz="6" w:space="4"/>
        </w:pBdr>
        <w:spacing w:after="200" w:before="420"/>
      </w:pPr>
      <w:r>
        <w:rPr>
          <w:rFonts w:ascii="Cambria" w:cs="Cambria" w:eastAsia="Cambria" w:hAnsi="Cambria"/>
          <w:b/>
          <w:bCs/>
          <w:color w:val="1B2338"/>
          <w:sz w:val="30"/>
          <w:szCs w:val="30"/>
        </w:rPr>
        <w:t xml:space="preserve">4. Flujo general de la dinámica</w:t>
      </w:r>
    </w:p>
    <w:p>
      <w:pPr>
        <w:spacing w:after="160" w:line="276"/>
      </w:pPr>
      <w:r>
        <w:rPr>
          <w:rFonts w:ascii="Calibri" w:cs="Calibri" w:eastAsia="Calibri" w:hAnsi="Calibri"/>
          <w:b w:val="false"/>
          <w:bCs w:val="false"/>
          <w:i w:val="false"/>
          <w:iCs w:val="false"/>
          <w:color w:val="1B2338"/>
          <w:sz w:val="21"/>
          <w:szCs w:val="21"/>
        </w:rPr>
        <w:t xml:space="preserve">Secuencia end-to-end tal como ocurre en el aula, mapeada a las pantallas del sistema.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900"/>
      </w:tblGrid>
      <w:tr>
        <w:trPr>
          <w:tblHeader/>
        </w:trPr>
        <w:tc>
          <w:tcPr>
            <w:tcW w:type="dxa" w:w="1100"/>
            <w:shd w:fill="1B2338"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Paso</w:t>
            </w:r>
          </w:p>
        </w:tc>
        <w:tc>
          <w:tcPr>
            <w:tcW w:type="dxa" w:w="2600"/>
            <w:shd w:fill="1B2338"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Quién</w:t>
            </w:r>
          </w:p>
        </w:tc>
        <w:tc>
          <w:tcPr>
            <w:tcW w:type="dxa" w:w="5900"/>
            <w:shd w:fill="1B2338"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Qué sucede</w:t>
            </w:r>
          </w:p>
        </w:tc>
      </w:tr>
      <w:tr>
        <w:tc>
          <w:tcPr>
            <w:tcW w:type="dxa" w:w="1100"/>
            <w:shd w:fill="FFFFFF" w:val="clear"/>
            <w:tcMar>
              <w:top w:type="dxa" w:w="90"/>
              <w:left w:type="dxa" w:w="110"/>
              <w:bottom w:type="dxa" w:w="90"/>
              <w:right w:type="dxa" w:w="110"/>
            </w:tcMar>
            <w:vAlign w:val="center"/>
          </w:tcPr>
          <w:p>
            <w:pPr>
              <w:jc w:val="center"/>
            </w:pPr>
            <w:r>
              <w:rPr>
                <w:rFonts w:ascii="Calibri" w:cs="Calibri" w:eastAsia="Calibri" w:hAnsi="Calibri"/>
                <w:b/>
                <w:bCs/>
                <w:color w:val="1B2338"/>
                <w:sz w:val="18"/>
                <w:szCs w:val="18"/>
              </w:rPr>
              <w:t xml:space="preserve">1</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Facilitador</w:t>
            </w:r>
          </w:p>
        </w:tc>
        <w:tc>
          <w:tcPr>
            <w:tcW w:type="dxa" w:w="5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Crea la sesión, elige el caso (“El correo del banco”), define cantidad de grupos y minutos del cronómetro (default 15). El sistema genera un código de 4 dígitos y un QR.</w:t>
            </w:r>
          </w:p>
        </w:tc>
      </w:tr>
      <w:tr>
        <w:tc>
          <w:tcPr>
            <w:tcW w:type="dxa" w:w="1100"/>
            <w:shd w:fill="F2F4F7" w:val="clear"/>
            <w:tcMar>
              <w:top w:type="dxa" w:w="90"/>
              <w:left w:type="dxa" w:w="110"/>
              <w:bottom w:type="dxa" w:w="90"/>
              <w:right w:type="dxa" w:w="110"/>
            </w:tcMar>
            <w:vAlign w:val="center"/>
          </w:tcPr>
          <w:p>
            <w:pPr>
              <w:jc w:val="center"/>
            </w:pPr>
            <w:r>
              <w:rPr>
                <w:rFonts w:ascii="Calibri" w:cs="Calibri" w:eastAsia="Calibri" w:hAnsi="Calibri"/>
                <w:b/>
                <w:bCs/>
                <w:color w:val="1B2338"/>
                <w:sz w:val="18"/>
                <w:szCs w:val="18"/>
              </w:rPr>
              <w:t xml:space="preserve">2</w:t>
            </w:r>
          </w:p>
        </w:tc>
        <w:tc>
          <w:tcPr>
            <w:tcW w:type="dxa" w:w="2600"/>
            <w:shd w:fill="F2F4F7"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Alumnos</w:t>
            </w:r>
          </w:p>
        </w:tc>
        <w:tc>
          <w:tcPr>
            <w:tcW w:type="dxa" w:w="5900"/>
            <w:shd w:fill="F2F4F7"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Escanean el QR o ingresan el código en su celular, eligen o son asignados a un grupo, y ven su rol (Red o Blue) según lo definido por el facilitador.</w:t>
            </w:r>
          </w:p>
        </w:tc>
      </w:tr>
      <w:tr>
        <w:tc>
          <w:tcPr>
            <w:tcW w:type="dxa" w:w="1100"/>
            <w:shd w:fill="FFFFFF" w:val="clear"/>
            <w:tcMar>
              <w:top w:type="dxa" w:w="90"/>
              <w:left w:type="dxa" w:w="110"/>
              <w:bottom w:type="dxa" w:w="90"/>
              <w:right w:type="dxa" w:w="110"/>
            </w:tcMar>
            <w:vAlign w:val="center"/>
          </w:tcPr>
          <w:p>
            <w:pPr>
              <w:jc w:val="center"/>
            </w:pPr>
            <w:r>
              <w:rPr>
                <w:rFonts w:ascii="Calibri" w:cs="Calibri" w:eastAsia="Calibri" w:hAnsi="Calibri"/>
                <w:b/>
                <w:bCs/>
                <w:color w:val="1B2338"/>
                <w:sz w:val="18"/>
                <w:szCs w:val="18"/>
              </w:rPr>
              <w:t xml:space="preserve">3</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Facilitador</w:t>
            </w:r>
          </w:p>
        </w:tc>
        <w:tc>
          <w:tcPr>
            <w:tcW w:type="dxa" w:w="5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Confirma que todos los grupos están conectados (ve el listado en su panel) y presiona “Iniciar”.</w:t>
            </w:r>
          </w:p>
        </w:tc>
      </w:tr>
      <w:tr>
        <w:tc>
          <w:tcPr>
            <w:tcW w:type="dxa" w:w="1100"/>
            <w:shd w:fill="F2F4F7" w:val="clear"/>
            <w:tcMar>
              <w:top w:type="dxa" w:w="90"/>
              <w:left w:type="dxa" w:w="110"/>
              <w:bottom w:type="dxa" w:w="90"/>
              <w:right w:type="dxa" w:w="110"/>
            </w:tcMar>
            <w:vAlign w:val="center"/>
          </w:tcPr>
          <w:p>
            <w:pPr>
              <w:jc w:val="center"/>
            </w:pPr>
            <w:r>
              <w:rPr>
                <w:rFonts w:ascii="Calibri" w:cs="Calibri" w:eastAsia="Calibri" w:hAnsi="Calibri"/>
                <w:b/>
                <w:bCs/>
                <w:color w:val="1B2338"/>
                <w:sz w:val="18"/>
                <w:szCs w:val="18"/>
              </w:rPr>
              <w:t xml:space="preserve">4</w:t>
            </w:r>
          </w:p>
        </w:tc>
        <w:tc>
          <w:tcPr>
            <w:tcW w:type="dxa" w:w="2600"/>
            <w:shd w:fill="F2F4F7" w:val="clear"/>
            <w:tcMar>
              <w:top w:type="dxa" w:w="90"/>
              <w:left w:type="dxa" w:w="110"/>
              <w:bottom w:type="dxa" w:w="90"/>
              <w:right w:type="dxa" w:w="110"/>
            </w:tcMar>
            <w:vAlign w:val="center"/>
          </w:tcPr>
          <w:p>
            <w:pPr>
              <w:jc w:val="left"/>
            </w:pPr>
            <w:r>
              <w:rPr>
                <w:rFonts w:ascii="Calibri" w:cs="Calibri" w:eastAsia="Calibri" w:hAnsi="Calibri"/>
                <w:b/>
                <w:bCs/>
                <w:color w:val="C0293B"/>
                <w:sz w:val="18"/>
                <w:szCs w:val="18"/>
              </w:rPr>
              <w:t xml:space="preserve">Red Team</w:t>
            </w:r>
          </w:p>
        </w:tc>
        <w:tc>
          <w:tcPr>
            <w:tcW w:type="dxa" w:w="5900"/>
            <w:shd w:fill="F2F4F7"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Ve el material completo del caso (el correo) y un campo de texto guiado: “¿Cómo armarían este engaño desde cero?”.</w:t>
            </w:r>
          </w:p>
        </w:tc>
      </w:tr>
      <w:tr>
        <w:tc>
          <w:tcPr>
            <w:tcW w:type="dxa" w:w="1100"/>
            <w:shd w:fill="FFFFFF" w:val="clear"/>
            <w:tcMar>
              <w:top w:type="dxa" w:w="90"/>
              <w:left w:type="dxa" w:w="110"/>
              <w:bottom w:type="dxa" w:w="90"/>
              <w:right w:type="dxa" w:w="110"/>
            </w:tcMar>
            <w:vAlign w:val="center"/>
          </w:tcPr>
          <w:p>
            <w:pPr>
              <w:jc w:val="center"/>
            </w:pPr>
            <w:r>
              <w:rPr>
                <w:rFonts w:ascii="Calibri" w:cs="Calibri" w:eastAsia="Calibri" w:hAnsi="Calibri"/>
                <w:b/>
                <w:bCs/>
                <w:color w:val="1B2338"/>
                <w:sz w:val="18"/>
                <w:szCs w:val="18"/>
              </w:rPr>
              <w:t xml:space="preserve">5</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bCs/>
                <w:color w:val="2E5FA3"/>
                <w:sz w:val="18"/>
                <w:szCs w:val="18"/>
              </w:rPr>
              <w:t xml:space="preserve">Blue Team</w:t>
            </w:r>
          </w:p>
        </w:tc>
        <w:tc>
          <w:tcPr>
            <w:tcW w:type="dxa" w:w="5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Ve el mismo material y un checklist de 5 casilleros en blanco + campo de texto para 3 recomendaciones.</w:t>
            </w:r>
          </w:p>
        </w:tc>
      </w:tr>
      <w:tr>
        <w:tc>
          <w:tcPr>
            <w:tcW w:type="dxa" w:w="1100"/>
            <w:shd w:fill="F2F4F7" w:val="clear"/>
            <w:tcMar>
              <w:top w:type="dxa" w:w="90"/>
              <w:left w:type="dxa" w:w="110"/>
              <w:bottom w:type="dxa" w:w="90"/>
              <w:right w:type="dxa" w:w="110"/>
            </w:tcMar>
            <w:vAlign w:val="center"/>
          </w:tcPr>
          <w:p>
            <w:pPr>
              <w:jc w:val="center"/>
            </w:pPr>
            <w:r>
              <w:rPr>
                <w:rFonts w:ascii="Calibri" w:cs="Calibri" w:eastAsia="Calibri" w:hAnsi="Calibri"/>
                <w:b/>
                <w:bCs/>
                <w:color w:val="1B2338"/>
                <w:sz w:val="18"/>
                <w:szCs w:val="18"/>
              </w:rPr>
              <w:t xml:space="preserve">6</w:t>
            </w:r>
          </w:p>
        </w:tc>
        <w:tc>
          <w:tcPr>
            <w:tcW w:type="dxa" w:w="2600"/>
            <w:shd w:fill="F2F4F7"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Ambos</w:t>
            </w:r>
          </w:p>
        </w:tc>
        <w:tc>
          <w:tcPr>
            <w:tcW w:type="dxa" w:w="5900"/>
            <w:shd w:fill="F2F4F7"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El cronómetro corre visible en pantalla; a los 2 minutos del final se dispara un aviso visual/sonoro.</w:t>
            </w:r>
          </w:p>
        </w:tc>
      </w:tr>
      <w:tr>
        <w:tc>
          <w:tcPr>
            <w:tcW w:type="dxa" w:w="1100"/>
            <w:shd w:fill="FFFFFF" w:val="clear"/>
            <w:tcMar>
              <w:top w:type="dxa" w:w="90"/>
              <w:left w:type="dxa" w:w="110"/>
              <w:bottom w:type="dxa" w:w="90"/>
              <w:right w:type="dxa" w:w="110"/>
            </w:tcMar>
            <w:vAlign w:val="center"/>
          </w:tcPr>
          <w:p>
            <w:pPr>
              <w:jc w:val="center"/>
            </w:pPr>
            <w:r>
              <w:rPr>
                <w:rFonts w:ascii="Calibri" w:cs="Calibri" w:eastAsia="Calibri" w:hAnsi="Calibri"/>
                <w:b/>
                <w:bCs/>
                <w:color w:val="1B2338"/>
                <w:sz w:val="18"/>
                <w:szCs w:val="18"/>
              </w:rPr>
              <w:t xml:space="preserve">7</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Grupos</w:t>
            </w:r>
          </w:p>
        </w:tc>
        <w:tc>
          <w:tcPr>
            <w:tcW w:type="dxa" w:w="5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Presionan “Enviar respuesta” antes de que el cronómetro llegue a cero. Después de enviar, la pantalla queda en modo lectura.</w:t>
            </w:r>
          </w:p>
        </w:tc>
      </w:tr>
      <w:tr>
        <w:tc>
          <w:tcPr>
            <w:tcW w:type="dxa" w:w="1100"/>
            <w:shd w:fill="F2F4F7" w:val="clear"/>
            <w:tcMar>
              <w:top w:type="dxa" w:w="90"/>
              <w:left w:type="dxa" w:w="110"/>
              <w:bottom w:type="dxa" w:w="90"/>
              <w:right w:type="dxa" w:w="110"/>
            </w:tcMar>
            <w:vAlign w:val="center"/>
          </w:tcPr>
          <w:p>
            <w:pPr>
              <w:jc w:val="center"/>
            </w:pPr>
            <w:r>
              <w:rPr>
                <w:rFonts w:ascii="Calibri" w:cs="Calibri" w:eastAsia="Calibri" w:hAnsi="Calibri"/>
                <w:b/>
                <w:bCs/>
                <w:color w:val="1B2338"/>
                <w:sz w:val="18"/>
                <w:szCs w:val="18"/>
              </w:rPr>
              <w:t xml:space="preserve">8</w:t>
            </w:r>
          </w:p>
        </w:tc>
        <w:tc>
          <w:tcPr>
            <w:tcW w:type="dxa" w:w="2600"/>
            <w:shd w:fill="F2F4F7"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Facilitador</w:t>
            </w:r>
          </w:p>
        </w:tc>
        <w:tc>
          <w:tcPr>
            <w:tcW w:type="dxa" w:w="5900"/>
            <w:shd w:fill="F2F4F7"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Ve en su panel qué grupos ya enviaron y una vista previa de cada respuesta, para elegir a quién le da la palabra primero.</w:t>
            </w:r>
          </w:p>
        </w:tc>
      </w:tr>
      <w:tr>
        <w:tc>
          <w:tcPr>
            <w:tcW w:type="dxa" w:w="1100"/>
            <w:shd w:fill="FFFFFF" w:val="clear"/>
            <w:tcMar>
              <w:top w:type="dxa" w:w="90"/>
              <w:left w:type="dxa" w:w="110"/>
              <w:bottom w:type="dxa" w:w="90"/>
              <w:right w:type="dxa" w:w="110"/>
            </w:tcMar>
            <w:vAlign w:val="center"/>
          </w:tcPr>
          <w:p>
            <w:pPr>
              <w:jc w:val="center"/>
            </w:pPr>
            <w:r>
              <w:rPr>
                <w:rFonts w:ascii="Calibri" w:cs="Calibri" w:eastAsia="Calibri" w:hAnsi="Calibri"/>
                <w:b/>
                <w:bCs/>
                <w:color w:val="1B2338"/>
                <w:sz w:val="18"/>
                <w:szCs w:val="18"/>
              </w:rPr>
              <w:t xml:space="preserve">9</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Puesta en común</w:t>
            </w:r>
          </w:p>
        </w:tc>
        <w:tc>
          <w:tcPr>
            <w:tcW w:type="dxa" w:w="5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El facilitador pasa la pantalla de proyección a modo “Puesta en común”: muestra, grupo por grupo, lo que escribieron (sin corregir todavía).</w:t>
            </w:r>
          </w:p>
        </w:tc>
      </w:tr>
      <w:tr>
        <w:tc>
          <w:tcPr>
            <w:tcW w:type="dxa" w:w="1100"/>
            <w:shd w:fill="F2F4F7" w:val="clear"/>
            <w:tcMar>
              <w:top w:type="dxa" w:w="90"/>
              <w:left w:type="dxa" w:w="110"/>
              <w:bottom w:type="dxa" w:w="90"/>
              <w:right w:type="dxa" w:w="110"/>
            </w:tcMar>
            <w:vAlign w:val="center"/>
          </w:tcPr>
          <w:p>
            <w:pPr>
              <w:jc w:val="center"/>
            </w:pPr>
            <w:r>
              <w:rPr>
                <w:rFonts w:ascii="Calibri" w:cs="Calibri" w:eastAsia="Calibri" w:hAnsi="Calibri"/>
                <w:b/>
                <w:bCs/>
                <w:color w:val="1B2338"/>
                <w:sz w:val="18"/>
                <w:szCs w:val="18"/>
              </w:rPr>
              <w:t xml:space="preserve">10</w:t>
            </w:r>
          </w:p>
        </w:tc>
        <w:tc>
          <w:tcPr>
            <w:tcW w:type="dxa" w:w="2600"/>
            <w:shd w:fill="F2F4F7"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Revelación</w:t>
            </w:r>
          </w:p>
        </w:tc>
        <w:tc>
          <w:tcPr>
            <w:tcW w:type="dxa" w:w="5900"/>
            <w:shd w:fill="F2F4F7"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El facilitador avanza a la pantalla de “Revelación”: se muestran las 5 señales correctas superpuestas al material, y el sistema marca automáticamente cuántas acertó cada Blue Team.</w:t>
            </w:r>
          </w:p>
        </w:tc>
      </w:tr>
      <w:tr>
        <w:tc>
          <w:tcPr>
            <w:tcW w:type="dxa" w:w="1100"/>
            <w:shd w:fill="FFFFFF" w:val="clear"/>
            <w:tcMar>
              <w:top w:type="dxa" w:w="90"/>
              <w:left w:type="dxa" w:w="110"/>
              <w:bottom w:type="dxa" w:w="90"/>
              <w:right w:type="dxa" w:w="110"/>
            </w:tcMar>
            <w:vAlign w:val="center"/>
          </w:tcPr>
          <w:p>
            <w:pPr>
              <w:jc w:val="center"/>
            </w:pPr>
            <w:r>
              <w:rPr>
                <w:rFonts w:ascii="Calibri" w:cs="Calibri" w:eastAsia="Calibri" w:hAnsi="Calibri"/>
                <w:b/>
                <w:bCs/>
                <w:color w:val="1B2338"/>
                <w:sz w:val="18"/>
                <w:szCs w:val="18"/>
              </w:rPr>
              <w:t xml:space="preserve">11</w:t>
            </w:r>
          </w:p>
        </w:tc>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Cierre</w:t>
            </w:r>
          </w:p>
        </w:tc>
        <w:tc>
          <w:tcPr>
            <w:tcW w:type="dxa" w:w="5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El sistema muestra un ranking simple (puntos por anomalías correctas + bonus por tiempo) a modo de cierre lúdico, sin objetivo competitivo serio.</w:t>
            </w:r>
          </w:p>
        </w:tc>
      </w:tr>
    </w:tbl>
    <w:p>
      <w:pPr>
        <w:pStyle w:val="Heading1"/>
        <w:pBdr>
          <w:bottom w:val="single" w:color="0F9D68" w:sz="6" w:space="4"/>
        </w:pBdr>
        <w:spacing w:after="200" w:before="420"/>
      </w:pPr>
      <w:r>
        <w:rPr>
          <w:rFonts w:ascii="Cambria" w:cs="Cambria" w:eastAsia="Cambria" w:hAnsi="Cambria"/>
          <w:b/>
          <w:bCs/>
          <w:color w:val="1B2338"/>
          <w:sz w:val="30"/>
          <w:szCs w:val="30"/>
        </w:rPr>
        <w:t xml:space="preserve">5. Requerimientos funcionales</w:t>
      </w:r>
    </w:p>
    <w:p>
      <w:pPr>
        <w:pStyle w:val="Heading2"/>
        <w:spacing w:after="140" w:before="300"/>
      </w:pPr>
      <w:r>
        <w:rPr>
          <w:rFonts w:ascii="Cambria" w:cs="Cambria" w:eastAsia="Cambria" w:hAnsi="Cambria"/>
          <w:b/>
          <w:bCs/>
          <w:color w:val="0B7A52"/>
          <w:sz w:val="24"/>
          <w:szCs w:val="24"/>
        </w:rPr>
        <w:t xml:space="preserve">5.1 Gestión de sesión (Facilitador)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600"/>
      </w:tblGrid>
      <w:tr>
        <w:trPr>
          <w:tblHeader/>
        </w:trPr>
        <w:tc>
          <w:tcPr>
            <w:tcW w:type="dxa" w:w="1100"/>
            <w:shd w:fill="1B2338"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ID</w:t>
            </w:r>
          </w:p>
        </w:tc>
        <w:tc>
          <w:tcPr>
            <w:tcW w:type="dxa" w:w="6900"/>
            <w:shd w:fill="1B2338"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Requerimiento</w:t>
            </w:r>
          </w:p>
        </w:tc>
        <w:tc>
          <w:tcPr>
            <w:tcW w:type="dxa" w:w="1600"/>
            <w:shd w:fill="1B2338"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Prioridad</w:t>
            </w:r>
          </w:p>
        </w:tc>
      </w:tr>
      <w:tr>
        <w:tc>
          <w:tcPr>
            <w:tcW w:type="dxa" w:w="1100"/>
            <w:shd w:fill="FFFFFF"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RF-01</w:t>
            </w:r>
          </w:p>
        </w:tc>
        <w:tc>
          <w:tcPr>
            <w:tcW w:type="dxa" w:w="6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Crear una sesión nueva eligiendo un “caso” de una lista precargada.</w:t>
            </w:r>
          </w:p>
        </w:tc>
        <w:tc>
          <w:tcPr>
            <w:tcW w:type="dxa" w:w="1600"/>
            <w:shd w:fill="FFFFFF" w:val="clear"/>
            <w:tcMar>
              <w:top w:type="dxa" w:w="90"/>
              <w:left w:type="dxa" w:w="110"/>
              <w:bottom w:type="dxa" w:w="90"/>
              <w:right w:type="dxa" w:w="110"/>
            </w:tcMar>
            <w:vAlign w:val="center"/>
          </w:tcPr>
          <w:p>
            <w:pPr>
              <w:jc w:val="center"/>
            </w:pPr>
            <w:r>
              <w:rPr>
                <w:rFonts w:ascii="Calibri" w:cs="Calibri" w:eastAsia="Calibri" w:hAnsi="Calibri"/>
                <w:b/>
                <w:bCs/>
                <w:color w:val="C0293B"/>
                <w:sz w:val="18"/>
                <w:szCs w:val="18"/>
              </w:rPr>
              <w:t xml:space="preserve">Must</w:t>
            </w:r>
          </w:p>
        </w:tc>
      </w:tr>
      <w:tr>
        <w:tc>
          <w:tcPr>
            <w:tcW w:type="dxa" w:w="1100"/>
            <w:shd w:fill="F2F4F7"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RF-02</w:t>
            </w:r>
          </w:p>
        </w:tc>
        <w:tc>
          <w:tcPr>
            <w:tcW w:type="dxa" w:w="6900"/>
            <w:shd w:fill="F2F4F7"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Generar automáticamente un código corto (4-6 caracteres) y un QR de acceso a la sesión.</w:t>
            </w:r>
          </w:p>
        </w:tc>
        <w:tc>
          <w:tcPr>
            <w:tcW w:type="dxa" w:w="1600"/>
            <w:shd w:fill="F2F4F7" w:val="clear"/>
            <w:tcMar>
              <w:top w:type="dxa" w:w="90"/>
              <w:left w:type="dxa" w:w="110"/>
              <w:bottom w:type="dxa" w:w="90"/>
              <w:right w:type="dxa" w:w="110"/>
            </w:tcMar>
            <w:vAlign w:val="center"/>
          </w:tcPr>
          <w:p>
            <w:pPr>
              <w:jc w:val="center"/>
            </w:pPr>
            <w:r>
              <w:rPr>
                <w:rFonts w:ascii="Calibri" w:cs="Calibri" w:eastAsia="Calibri" w:hAnsi="Calibri"/>
                <w:b/>
                <w:bCs/>
                <w:color w:val="C0293B"/>
                <w:sz w:val="18"/>
                <w:szCs w:val="18"/>
              </w:rPr>
              <w:t xml:space="preserve">Must</w:t>
            </w:r>
          </w:p>
        </w:tc>
      </w:tr>
      <w:tr>
        <w:tc>
          <w:tcPr>
            <w:tcW w:type="dxa" w:w="1100"/>
            <w:shd w:fill="FFFFFF"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RF-03</w:t>
            </w:r>
          </w:p>
        </w:tc>
        <w:tc>
          <w:tcPr>
            <w:tcW w:type="dxa" w:w="6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Definir la cantidad de grupos (2 a 10) y la duración del cronómetro (5 a 30 minutos).</w:t>
            </w:r>
          </w:p>
        </w:tc>
        <w:tc>
          <w:tcPr>
            <w:tcW w:type="dxa" w:w="1600"/>
            <w:shd w:fill="FFFFFF" w:val="clear"/>
            <w:tcMar>
              <w:top w:type="dxa" w:w="90"/>
              <w:left w:type="dxa" w:w="110"/>
              <w:bottom w:type="dxa" w:w="90"/>
              <w:right w:type="dxa" w:w="110"/>
            </w:tcMar>
            <w:vAlign w:val="center"/>
          </w:tcPr>
          <w:p>
            <w:pPr>
              <w:jc w:val="center"/>
            </w:pPr>
            <w:r>
              <w:rPr>
                <w:rFonts w:ascii="Calibri" w:cs="Calibri" w:eastAsia="Calibri" w:hAnsi="Calibri"/>
                <w:b/>
                <w:bCs/>
                <w:color w:val="C0293B"/>
                <w:sz w:val="18"/>
                <w:szCs w:val="18"/>
              </w:rPr>
              <w:t xml:space="preserve">Must</w:t>
            </w:r>
          </w:p>
        </w:tc>
      </w:tr>
      <w:tr>
        <w:tc>
          <w:tcPr>
            <w:tcW w:type="dxa" w:w="1100"/>
            <w:shd w:fill="F2F4F7"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RF-04</w:t>
            </w:r>
          </w:p>
        </w:tc>
        <w:tc>
          <w:tcPr>
            <w:tcW w:type="dxa" w:w="6900"/>
            <w:shd w:fill="F2F4F7"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Asignar el rol de cada grupo (Red / Blue) de forma manual o aleatoria equilibrada.</w:t>
            </w:r>
          </w:p>
        </w:tc>
        <w:tc>
          <w:tcPr>
            <w:tcW w:type="dxa" w:w="1600"/>
            <w:shd w:fill="F2F4F7" w:val="clear"/>
            <w:tcMar>
              <w:top w:type="dxa" w:w="90"/>
              <w:left w:type="dxa" w:w="110"/>
              <w:bottom w:type="dxa" w:w="90"/>
              <w:right w:type="dxa" w:w="110"/>
            </w:tcMar>
            <w:vAlign w:val="center"/>
          </w:tcPr>
          <w:p>
            <w:pPr>
              <w:jc w:val="center"/>
            </w:pPr>
            <w:r>
              <w:rPr>
                <w:rFonts w:ascii="Calibri" w:cs="Calibri" w:eastAsia="Calibri" w:hAnsi="Calibri"/>
                <w:b/>
                <w:bCs/>
                <w:color w:val="C0293B"/>
                <w:sz w:val="18"/>
                <w:szCs w:val="18"/>
              </w:rPr>
              <w:t xml:space="preserve">Must</w:t>
            </w:r>
          </w:p>
        </w:tc>
      </w:tr>
      <w:tr>
        <w:tc>
          <w:tcPr>
            <w:tcW w:type="dxa" w:w="1100"/>
            <w:shd w:fill="FFFFFF"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RF-05</w:t>
            </w:r>
          </w:p>
        </w:tc>
        <w:tc>
          <w:tcPr>
            <w:tcW w:type="dxa" w:w="6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Ver en vivo qué grupos están conectados antes de iniciar la actividad.</w:t>
            </w:r>
          </w:p>
        </w:tc>
        <w:tc>
          <w:tcPr>
            <w:tcW w:type="dxa" w:w="1600"/>
            <w:shd w:fill="FFFFFF" w:val="clear"/>
            <w:tcMar>
              <w:top w:type="dxa" w:w="90"/>
              <w:left w:type="dxa" w:w="110"/>
              <w:bottom w:type="dxa" w:w="90"/>
              <w:right w:type="dxa" w:w="110"/>
            </w:tcMar>
            <w:vAlign w:val="center"/>
          </w:tcPr>
          <w:p>
            <w:pPr>
              <w:jc w:val="center"/>
            </w:pPr>
            <w:r>
              <w:rPr>
                <w:rFonts w:ascii="Calibri" w:cs="Calibri" w:eastAsia="Calibri" w:hAnsi="Calibri"/>
                <w:b/>
                <w:bCs/>
                <w:color w:val="C0293B"/>
                <w:sz w:val="18"/>
                <w:szCs w:val="18"/>
              </w:rPr>
              <w:t xml:space="preserve">Must</w:t>
            </w:r>
          </w:p>
        </w:tc>
      </w:tr>
      <w:tr>
        <w:tc>
          <w:tcPr>
            <w:tcW w:type="dxa" w:w="1100"/>
            <w:shd w:fill="F2F4F7"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RF-06</w:t>
            </w:r>
          </w:p>
        </w:tc>
        <w:tc>
          <w:tcPr>
            <w:tcW w:type="dxa" w:w="6900"/>
            <w:shd w:fill="F2F4F7"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Iniciar, pausar y reiniciar el cronómetro compartido desde el panel del facilitador.</w:t>
            </w:r>
          </w:p>
        </w:tc>
        <w:tc>
          <w:tcPr>
            <w:tcW w:type="dxa" w:w="1600"/>
            <w:shd w:fill="F2F4F7" w:val="clear"/>
            <w:tcMar>
              <w:top w:type="dxa" w:w="90"/>
              <w:left w:type="dxa" w:w="110"/>
              <w:bottom w:type="dxa" w:w="90"/>
              <w:right w:type="dxa" w:w="110"/>
            </w:tcMar>
            <w:vAlign w:val="center"/>
          </w:tcPr>
          <w:p>
            <w:pPr>
              <w:jc w:val="center"/>
            </w:pPr>
            <w:r>
              <w:rPr>
                <w:rFonts w:ascii="Calibri" w:cs="Calibri" w:eastAsia="Calibri" w:hAnsi="Calibri"/>
                <w:b/>
                <w:bCs/>
                <w:color w:val="C0293B"/>
                <w:sz w:val="18"/>
                <w:szCs w:val="18"/>
              </w:rPr>
              <w:t xml:space="preserve">Must</w:t>
            </w:r>
          </w:p>
        </w:tc>
      </w:tr>
      <w:tr>
        <w:tc>
          <w:tcPr>
            <w:tcW w:type="dxa" w:w="1100"/>
            <w:shd w:fill="FFFFFF"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RF-07</w:t>
            </w:r>
          </w:p>
        </w:tc>
        <w:tc>
          <w:tcPr>
            <w:tcW w:type="dxa" w:w="6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Cerrar manualmente la ventana de envío antes de que termine el cronómetro, si hace falta.</w:t>
            </w:r>
          </w:p>
        </w:tc>
        <w:tc>
          <w:tcPr>
            <w:tcW w:type="dxa" w:w="1600"/>
            <w:shd w:fill="FFFFFF" w:val="clear"/>
            <w:tcMar>
              <w:top w:type="dxa" w:w="90"/>
              <w:left w:type="dxa" w:w="110"/>
              <w:bottom w:type="dxa" w:w="90"/>
              <w:right w:type="dxa" w:w="110"/>
            </w:tcMar>
            <w:vAlign w:val="center"/>
          </w:tcPr>
          <w:p>
            <w:pPr>
              <w:jc w:val="center"/>
            </w:pPr>
            <w:r>
              <w:rPr>
                <w:rFonts w:ascii="Calibri" w:cs="Calibri" w:eastAsia="Calibri" w:hAnsi="Calibri"/>
                <w:b/>
                <w:bCs/>
                <w:color w:val="2E5FA3"/>
                <w:sz w:val="18"/>
                <w:szCs w:val="18"/>
              </w:rPr>
              <w:t xml:space="preserve">Should</w:t>
            </w:r>
          </w:p>
        </w:tc>
      </w:tr>
      <w:tr>
        <w:tc>
          <w:tcPr>
            <w:tcW w:type="dxa" w:w="1100"/>
            <w:shd w:fill="F2F4F7"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RF-08</w:t>
            </w:r>
          </w:p>
        </w:tc>
        <w:tc>
          <w:tcPr>
            <w:tcW w:type="dxa" w:w="6900"/>
            <w:shd w:fill="F2F4F7"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Cargar un caso nuevo (texto + rol de cada consigna + checklist de anomalías) mediante un formulario simple.</w:t>
            </w:r>
          </w:p>
        </w:tc>
        <w:tc>
          <w:tcPr>
            <w:tcW w:type="dxa" w:w="1600"/>
            <w:shd w:fill="F2F4F7" w:val="clear"/>
            <w:tcMar>
              <w:top w:type="dxa" w:w="90"/>
              <w:left w:type="dxa" w:w="110"/>
              <w:bottom w:type="dxa" w:w="90"/>
              <w:right w:type="dxa" w:w="110"/>
            </w:tcMar>
            <w:vAlign w:val="center"/>
          </w:tcPr>
          <w:p>
            <w:pPr>
              <w:jc w:val="center"/>
            </w:pPr>
            <w:r>
              <w:rPr>
                <w:rFonts w:ascii="Calibri" w:cs="Calibri" w:eastAsia="Calibri" w:hAnsi="Calibri"/>
                <w:b/>
                <w:bCs/>
                <w:color w:val="2E5FA3"/>
                <w:sz w:val="18"/>
                <w:szCs w:val="18"/>
              </w:rPr>
              <w:t xml:space="preserve">Should</w:t>
            </w:r>
          </w:p>
        </w:tc>
      </w:tr>
      <w:tr>
        <w:tc>
          <w:tcPr>
            <w:tcW w:type="dxa" w:w="1100"/>
            <w:shd w:fill="FFFFFF"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RF-09</w:t>
            </w:r>
          </w:p>
        </w:tc>
        <w:tc>
          <w:tcPr>
            <w:tcW w:type="dxa" w:w="6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Exportar un resumen de la sesión (respuestas y puntajes) al finalizar, en PDF o enlace compartible.</w:t>
            </w:r>
          </w:p>
        </w:tc>
        <w:tc>
          <w:tcPr>
            <w:tcW w:type="dxa" w:w="1600"/>
            <w:shd w:fill="FFFFFF" w:val="clear"/>
            <w:tcMar>
              <w:top w:type="dxa" w:w="90"/>
              <w:left w:type="dxa" w:w="110"/>
              <w:bottom w:type="dxa" w:w="90"/>
              <w:right w:type="dxa" w:w="110"/>
            </w:tcMar>
            <w:vAlign w:val="center"/>
          </w:tcPr>
          <w:p>
            <w:pPr>
              <w:jc w:val="center"/>
            </w:pPr>
            <w:r>
              <w:rPr>
                <w:rFonts w:ascii="Calibri" w:cs="Calibri" w:eastAsia="Calibri" w:hAnsi="Calibri"/>
                <w:b/>
                <w:bCs/>
                <w:color w:val="5B6472"/>
                <w:sz w:val="18"/>
                <w:szCs w:val="18"/>
              </w:rPr>
              <w:t xml:space="preserve">Could</w:t>
            </w:r>
          </w:p>
        </w:tc>
      </w:tr>
    </w:tbl>
    <w:p>
      <w:pPr>
        <w:pStyle w:val="Heading2"/>
        <w:spacing w:after="140" w:before="300"/>
      </w:pPr>
      <w:r>
        <w:rPr>
          <w:rFonts w:ascii="Cambria" w:cs="Cambria" w:eastAsia="Cambria" w:hAnsi="Cambria"/>
          <w:b/>
          <w:bCs/>
          <w:color w:val="0B7A52"/>
          <w:sz w:val="24"/>
          <w:szCs w:val="24"/>
        </w:rPr>
        <w:t xml:space="preserve">5.2 Vista del grupo — Red Team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600"/>
      </w:tblGrid>
      <w:tr>
        <w:trPr>
          <w:tblHeader/>
        </w:trPr>
        <w:tc>
          <w:tcPr>
            <w:tcW w:type="dxa" w:w="1100"/>
            <w:shd w:fill="1B2338"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ID</w:t>
            </w:r>
          </w:p>
        </w:tc>
        <w:tc>
          <w:tcPr>
            <w:tcW w:type="dxa" w:w="6900"/>
            <w:shd w:fill="1B2338"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Requerimiento</w:t>
            </w:r>
          </w:p>
        </w:tc>
        <w:tc>
          <w:tcPr>
            <w:tcW w:type="dxa" w:w="1600"/>
            <w:shd w:fill="1B2338"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Prioridad</w:t>
            </w:r>
          </w:p>
        </w:tc>
      </w:tr>
      <w:tr>
        <w:tc>
          <w:tcPr>
            <w:tcW w:type="dxa" w:w="1100"/>
            <w:shd w:fill="FFFFFF"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RF-10</w:t>
            </w:r>
          </w:p>
        </w:tc>
        <w:tc>
          <w:tcPr>
            <w:tcW w:type="dxa" w:w="6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Acceder a la sesión con el código, elegir/recibir número de grupo, ver la etiqueta “Red Team”.</w:t>
            </w:r>
          </w:p>
        </w:tc>
        <w:tc>
          <w:tcPr>
            <w:tcW w:type="dxa" w:w="1600"/>
            <w:shd w:fill="FFFFFF" w:val="clear"/>
            <w:tcMar>
              <w:top w:type="dxa" w:w="90"/>
              <w:left w:type="dxa" w:w="110"/>
              <w:bottom w:type="dxa" w:w="90"/>
              <w:right w:type="dxa" w:w="110"/>
            </w:tcMar>
            <w:vAlign w:val="center"/>
          </w:tcPr>
          <w:p>
            <w:pPr>
              <w:jc w:val="center"/>
            </w:pPr>
            <w:r>
              <w:rPr>
                <w:rFonts w:ascii="Calibri" w:cs="Calibri" w:eastAsia="Calibri" w:hAnsi="Calibri"/>
                <w:b/>
                <w:bCs/>
                <w:color w:val="C0293B"/>
                <w:sz w:val="18"/>
                <w:szCs w:val="18"/>
              </w:rPr>
              <w:t xml:space="preserve">Must</w:t>
            </w:r>
          </w:p>
        </w:tc>
      </w:tr>
      <w:tr>
        <w:tc>
          <w:tcPr>
            <w:tcW w:type="dxa" w:w="1100"/>
            <w:shd w:fill="F2F4F7"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RF-11</w:t>
            </w:r>
          </w:p>
        </w:tc>
        <w:tc>
          <w:tcPr>
            <w:tcW w:type="dxa" w:w="6900"/>
            <w:shd w:fill="F2F4F7"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Ver el material completo del caso (ej. el correo, con remitente, asunto y cuerpo).</w:t>
            </w:r>
          </w:p>
        </w:tc>
        <w:tc>
          <w:tcPr>
            <w:tcW w:type="dxa" w:w="1600"/>
            <w:shd w:fill="F2F4F7" w:val="clear"/>
            <w:tcMar>
              <w:top w:type="dxa" w:w="90"/>
              <w:left w:type="dxa" w:w="110"/>
              <w:bottom w:type="dxa" w:w="90"/>
              <w:right w:type="dxa" w:w="110"/>
            </w:tcMar>
            <w:vAlign w:val="center"/>
          </w:tcPr>
          <w:p>
            <w:pPr>
              <w:jc w:val="center"/>
            </w:pPr>
            <w:r>
              <w:rPr>
                <w:rFonts w:ascii="Calibri" w:cs="Calibri" w:eastAsia="Calibri" w:hAnsi="Calibri"/>
                <w:b/>
                <w:bCs/>
                <w:color w:val="C0293B"/>
                <w:sz w:val="18"/>
                <w:szCs w:val="18"/>
              </w:rPr>
              <w:t xml:space="preserve">Must</w:t>
            </w:r>
          </w:p>
        </w:tc>
      </w:tr>
      <w:tr>
        <w:tc>
          <w:tcPr>
            <w:tcW w:type="dxa" w:w="1100"/>
            <w:shd w:fill="FFFFFF"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RF-12</w:t>
            </w:r>
          </w:p>
        </w:tc>
        <w:tc>
          <w:tcPr>
            <w:tcW w:type="dxa" w:w="6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Completar un campo de texto libre guiado por la consigna de ataque.</w:t>
            </w:r>
          </w:p>
        </w:tc>
        <w:tc>
          <w:tcPr>
            <w:tcW w:type="dxa" w:w="1600"/>
            <w:shd w:fill="FFFFFF" w:val="clear"/>
            <w:tcMar>
              <w:top w:type="dxa" w:w="90"/>
              <w:left w:type="dxa" w:w="110"/>
              <w:bottom w:type="dxa" w:w="90"/>
              <w:right w:type="dxa" w:w="110"/>
            </w:tcMar>
            <w:vAlign w:val="center"/>
          </w:tcPr>
          <w:p>
            <w:pPr>
              <w:jc w:val="center"/>
            </w:pPr>
            <w:r>
              <w:rPr>
                <w:rFonts w:ascii="Calibri" w:cs="Calibri" w:eastAsia="Calibri" w:hAnsi="Calibri"/>
                <w:b/>
                <w:bCs/>
                <w:color w:val="C0293B"/>
                <w:sz w:val="18"/>
                <w:szCs w:val="18"/>
              </w:rPr>
              <w:t xml:space="preserve">Must</w:t>
            </w:r>
          </w:p>
        </w:tc>
      </w:tr>
      <w:tr>
        <w:tc>
          <w:tcPr>
            <w:tcW w:type="dxa" w:w="1100"/>
            <w:shd w:fill="F2F4F7"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RF-13</w:t>
            </w:r>
          </w:p>
        </w:tc>
        <w:tc>
          <w:tcPr>
            <w:tcW w:type="dxa" w:w="6900"/>
            <w:shd w:fill="F2F4F7"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Ver el cronómetro restante en todo momento, con aviso visual en el último minuto.</w:t>
            </w:r>
          </w:p>
        </w:tc>
        <w:tc>
          <w:tcPr>
            <w:tcW w:type="dxa" w:w="1600"/>
            <w:shd w:fill="F2F4F7" w:val="clear"/>
            <w:tcMar>
              <w:top w:type="dxa" w:w="90"/>
              <w:left w:type="dxa" w:w="110"/>
              <w:bottom w:type="dxa" w:w="90"/>
              <w:right w:type="dxa" w:w="110"/>
            </w:tcMar>
            <w:vAlign w:val="center"/>
          </w:tcPr>
          <w:p>
            <w:pPr>
              <w:jc w:val="center"/>
            </w:pPr>
            <w:r>
              <w:rPr>
                <w:rFonts w:ascii="Calibri" w:cs="Calibri" w:eastAsia="Calibri" w:hAnsi="Calibri"/>
                <w:b/>
                <w:bCs/>
                <w:color w:val="C0293B"/>
                <w:sz w:val="18"/>
                <w:szCs w:val="18"/>
              </w:rPr>
              <w:t xml:space="preserve">Must</w:t>
            </w:r>
          </w:p>
        </w:tc>
      </w:tr>
      <w:tr>
        <w:tc>
          <w:tcPr>
            <w:tcW w:type="dxa" w:w="1100"/>
            <w:shd w:fill="FFFFFF"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RF-14</w:t>
            </w:r>
          </w:p>
        </w:tc>
        <w:tc>
          <w:tcPr>
            <w:tcW w:type="dxa" w:w="6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Enviar la respuesta una sola vez; tras enviar, el formulario pasa a solo lectura.</w:t>
            </w:r>
          </w:p>
        </w:tc>
        <w:tc>
          <w:tcPr>
            <w:tcW w:type="dxa" w:w="1600"/>
            <w:shd w:fill="FFFFFF" w:val="clear"/>
            <w:tcMar>
              <w:top w:type="dxa" w:w="90"/>
              <w:left w:type="dxa" w:w="110"/>
              <w:bottom w:type="dxa" w:w="90"/>
              <w:right w:type="dxa" w:w="110"/>
            </w:tcMar>
            <w:vAlign w:val="center"/>
          </w:tcPr>
          <w:p>
            <w:pPr>
              <w:jc w:val="center"/>
            </w:pPr>
            <w:r>
              <w:rPr>
                <w:rFonts w:ascii="Calibri" w:cs="Calibri" w:eastAsia="Calibri" w:hAnsi="Calibri"/>
                <w:b/>
                <w:bCs/>
                <w:color w:val="C0293B"/>
                <w:sz w:val="18"/>
                <w:szCs w:val="18"/>
              </w:rPr>
              <w:t xml:space="preserve">Must</w:t>
            </w:r>
          </w:p>
        </w:tc>
      </w:tr>
      <w:tr>
        <w:tc>
          <w:tcPr>
            <w:tcW w:type="dxa" w:w="1100"/>
            <w:shd w:fill="F2F4F7"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RF-15</w:t>
            </w:r>
          </w:p>
        </w:tc>
        <w:tc>
          <w:tcPr>
            <w:tcW w:type="dxa" w:w="6900"/>
            <w:shd w:fill="F2F4F7"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Guardar un borrador automáticamente mientras el grupo escribe, por si se corta la conexión.</w:t>
            </w:r>
          </w:p>
        </w:tc>
        <w:tc>
          <w:tcPr>
            <w:tcW w:type="dxa" w:w="1600"/>
            <w:shd w:fill="F2F4F7" w:val="clear"/>
            <w:tcMar>
              <w:top w:type="dxa" w:w="90"/>
              <w:left w:type="dxa" w:w="110"/>
              <w:bottom w:type="dxa" w:w="90"/>
              <w:right w:type="dxa" w:w="110"/>
            </w:tcMar>
            <w:vAlign w:val="center"/>
          </w:tcPr>
          <w:p>
            <w:pPr>
              <w:jc w:val="center"/>
            </w:pPr>
            <w:r>
              <w:rPr>
                <w:rFonts w:ascii="Calibri" w:cs="Calibri" w:eastAsia="Calibri" w:hAnsi="Calibri"/>
                <w:b/>
                <w:bCs/>
                <w:color w:val="2E5FA3"/>
                <w:sz w:val="18"/>
                <w:szCs w:val="18"/>
              </w:rPr>
              <w:t xml:space="preserve">Should</w:t>
            </w:r>
          </w:p>
        </w:tc>
      </w:tr>
    </w:tbl>
    <w:p>
      <w:pPr>
        <w:pStyle w:val="Heading2"/>
        <w:spacing w:after="140" w:before="300"/>
      </w:pPr>
      <w:r>
        <w:rPr>
          <w:rFonts w:ascii="Cambria" w:cs="Cambria" w:eastAsia="Cambria" w:hAnsi="Cambria"/>
          <w:b/>
          <w:bCs/>
          <w:color w:val="0B7A52"/>
          <w:sz w:val="24"/>
          <w:szCs w:val="24"/>
        </w:rPr>
        <w:t xml:space="preserve">5.3 Vista del grupo — Blue Team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600"/>
      </w:tblGrid>
      <w:tr>
        <w:trPr>
          <w:tblHeader/>
        </w:trPr>
        <w:tc>
          <w:tcPr>
            <w:tcW w:type="dxa" w:w="1100"/>
            <w:shd w:fill="1B2338"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ID</w:t>
            </w:r>
          </w:p>
        </w:tc>
        <w:tc>
          <w:tcPr>
            <w:tcW w:type="dxa" w:w="6900"/>
            <w:shd w:fill="1B2338"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Requerimiento</w:t>
            </w:r>
          </w:p>
        </w:tc>
        <w:tc>
          <w:tcPr>
            <w:tcW w:type="dxa" w:w="1600"/>
            <w:shd w:fill="1B2338"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Prioridad</w:t>
            </w:r>
          </w:p>
        </w:tc>
      </w:tr>
      <w:tr>
        <w:tc>
          <w:tcPr>
            <w:tcW w:type="dxa" w:w="1100"/>
            <w:shd w:fill="FFFFFF"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RF-16</w:t>
            </w:r>
          </w:p>
        </w:tc>
        <w:tc>
          <w:tcPr>
            <w:tcW w:type="dxa" w:w="6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Acceder a la sesión con el código, elegir/recibir número de grupo, ver la etiqueta “Blue Team”.</w:t>
            </w:r>
          </w:p>
        </w:tc>
        <w:tc>
          <w:tcPr>
            <w:tcW w:type="dxa" w:w="1600"/>
            <w:shd w:fill="FFFFFF" w:val="clear"/>
            <w:tcMar>
              <w:top w:type="dxa" w:w="90"/>
              <w:left w:type="dxa" w:w="110"/>
              <w:bottom w:type="dxa" w:w="90"/>
              <w:right w:type="dxa" w:w="110"/>
            </w:tcMar>
            <w:vAlign w:val="center"/>
          </w:tcPr>
          <w:p>
            <w:pPr>
              <w:jc w:val="center"/>
            </w:pPr>
            <w:r>
              <w:rPr>
                <w:rFonts w:ascii="Calibri" w:cs="Calibri" w:eastAsia="Calibri" w:hAnsi="Calibri"/>
                <w:b/>
                <w:bCs/>
                <w:color w:val="C0293B"/>
                <w:sz w:val="18"/>
                <w:szCs w:val="18"/>
              </w:rPr>
              <w:t xml:space="preserve">Must</w:t>
            </w:r>
          </w:p>
        </w:tc>
      </w:tr>
      <w:tr>
        <w:tc>
          <w:tcPr>
            <w:tcW w:type="dxa" w:w="1100"/>
            <w:shd w:fill="F2F4F7"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RF-17</w:t>
            </w:r>
          </w:p>
        </w:tc>
        <w:tc>
          <w:tcPr>
            <w:tcW w:type="dxa" w:w="6900"/>
            <w:shd w:fill="F2F4F7"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Ver el mismo material del caso que el Red Team.</w:t>
            </w:r>
          </w:p>
        </w:tc>
        <w:tc>
          <w:tcPr>
            <w:tcW w:type="dxa" w:w="1600"/>
            <w:shd w:fill="F2F4F7" w:val="clear"/>
            <w:tcMar>
              <w:top w:type="dxa" w:w="90"/>
              <w:left w:type="dxa" w:w="110"/>
              <w:bottom w:type="dxa" w:w="90"/>
              <w:right w:type="dxa" w:w="110"/>
            </w:tcMar>
            <w:vAlign w:val="center"/>
          </w:tcPr>
          <w:p>
            <w:pPr>
              <w:jc w:val="center"/>
            </w:pPr>
            <w:r>
              <w:rPr>
                <w:rFonts w:ascii="Calibri" w:cs="Calibri" w:eastAsia="Calibri" w:hAnsi="Calibri"/>
                <w:b/>
                <w:bCs/>
                <w:color w:val="C0293B"/>
                <w:sz w:val="18"/>
                <w:szCs w:val="18"/>
              </w:rPr>
              <w:t xml:space="preserve">Must</w:t>
            </w:r>
          </w:p>
        </w:tc>
      </w:tr>
      <w:tr>
        <w:tc>
          <w:tcPr>
            <w:tcW w:type="dxa" w:w="1100"/>
            <w:shd w:fill="FFFFFF"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RF-18</w:t>
            </w:r>
          </w:p>
        </w:tc>
        <w:tc>
          <w:tcPr>
            <w:tcW w:type="dxa" w:w="6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Marcar un checklist de anomalías encontradas (5 casilleros vacíos, sin las respuestas precargadas).</w:t>
            </w:r>
          </w:p>
        </w:tc>
        <w:tc>
          <w:tcPr>
            <w:tcW w:type="dxa" w:w="1600"/>
            <w:shd w:fill="FFFFFF" w:val="clear"/>
            <w:tcMar>
              <w:top w:type="dxa" w:w="90"/>
              <w:left w:type="dxa" w:w="110"/>
              <w:bottom w:type="dxa" w:w="90"/>
              <w:right w:type="dxa" w:w="110"/>
            </w:tcMar>
            <w:vAlign w:val="center"/>
          </w:tcPr>
          <w:p>
            <w:pPr>
              <w:jc w:val="center"/>
            </w:pPr>
            <w:r>
              <w:rPr>
                <w:rFonts w:ascii="Calibri" w:cs="Calibri" w:eastAsia="Calibri" w:hAnsi="Calibri"/>
                <w:b/>
                <w:bCs/>
                <w:color w:val="C0293B"/>
                <w:sz w:val="18"/>
                <w:szCs w:val="18"/>
              </w:rPr>
              <w:t xml:space="preserve">Must</w:t>
            </w:r>
          </w:p>
        </w:tc>
      </w:tr>
      <w:tr>
        <w:tc>
          <w:tcPr>
            <w:tcW w:type="dxa" w:w="1100"/>
            <w:shd w:fill="F2F4F7"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RF-19</w:t>
            </w:r>
          </w:p>
        </w:tc>
        <w:tc>
          <w:tcPr>
            <w:tcW w:type="dxa" w:w="6900"/>
            <w:shd w:fill="F2F4F7"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Escribir hasta 3 recomendaciones de defensa en texto libre.</w:t>
            </w:r>
          </w:p>
        </w:tc>
        <w:tc>
          <w:tcPr>
            <w:tcW w:type="dxa" w:w="1600"/>
            <w:shd w:fill="F2F4F7" w:val="clear"/>
            <w:tcMar>
              <w:top w:type="dxa" w:w="90"/>
              <w:left w:type="dxa" w:w="110"/>
              <w:bottom w:type="dxa" w:w="90"/>
              <w:right w:type="dxa" w:w="110"/>
            </w:tcMar>
            <w:vAlign w:val="center"/>
          </w:tcPr>
          <w:p>
            <w:pPr>
              <w:jc w:val="center"/>
            </w:pPr>
            <w:r>
              <w:rPr>
                <w:rFonts w:ascii="Calibri" w:cs="Calibri" w:eastAsia="Calibri" w:hAnsi="Calibri"/>
                <w:b/>
                <w:bCs/>
                <w:color w:val="C0293B"/>
                <w:sz w:val="18"/>
                <w:szCs w:val="18"/>
              </w:rPr>
              <w:t xml:space="preserve">Must</w:t>
            </w:r>
          </w:p>
        </w:tc>
      </w:tr>
      <w:tr>
        <w:tc>
          <w:tcPr>
            <w:tcW w:type="dxa" w:w="1100"/>
            <w:shd w:fill="FFFFFF"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RF-20</w:t>
            </w:r>
          </w:p>
        </w:tc>
        <w:tc>
          <w:tcPr>
            <w:tcW w:type="dxa" w:w="6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Ver el mismo cronómetro compartido que el resto de los grupos.</w:t>
            </w:r>
          </w:p>
        </w:tc>
        <w:tc>
          <w:tcPr>
            <w:tcW w:type="dxa" w:w="1600"/>
            <w:shd w:fill="FFFFFF" w:val="clear"/>
            <w:tcMar>
              <w:top w:type="dxa" w:w="90"/>
              <w:left w:type="dxa" w:w="110"/>
              <w:bottom w:type="dxa" w:w="90"/>
              <w:right w:type="dxa" w:w="110"/>
            </w:tcMar>
            <w:vAlign w:val="center"/>
          </w:tcPr>
          <w:p>
            <w:pPr>
              <w:jc w:val="center"/>
            </w:pPr>
            <w:r>
              <w:rPr>
                <w:rFonts w:ascii="Calibri" w:cs="Calibri" w:eastAsia="Calibri" w:hAnsi="Calibri"/>
                <w:b/>
                <w:bCs/>
                <w:color w:val="C0293B"/>
                <w:sz w:val="18"/>
                <w:szCs w:val="18"/>
              </w:rPr>
              <w:t xml:space="preserve">Must</w:t>
            </w:r>
          </w:p>
        </w:tc>
      </w:tr>
      <w:tr>
        <w:tc>
          <w:tcPr>
            <w:tcW w:type="dxa" w:w="1100"/>
            <w:shd w:fill="F2F4F7"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RF-21</w:t>
            </w:r>
          </w:p>
        </w:tc>
        <w:tc>
          <w:tcPr>
            <w:tcW w:type="dxa" w:w="6900"/>
            <w:shd w:fill="F2F4F7"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Enviar la respuesta una sola vez; tras enviar, el formulario pasa a solo lectura.</w:t>
            </w:r>
          </w:p>
        </w:tc>
        <w:tc>
          <w:tcPr>
            <w:tcW w:type="dxa" w:w="1600"/>
            <w:shd w:fill="F2F4F7" w:val="clear"/>
            <w:tcMar>
              <w:top w:type="dxa" w:w="90"/>
              <w:left w:type="dxa" w:w="110"/>
              <w:bottom w:type="dxa" w:w="90"/>
              <w:right w:type="dxa" w:w="110"/>
            </w:tcMar>
            <w:vAlign w:val="center"/>
          </w:tcPr>
          <w:p>
            <w:pPr>
              <w:jc w:val="center"/>
            </w:pPr>
            <w:r>
              <w:rPr>
                <w:rFonts w:ascii="Calibri" w:cs="Calibri" w:eastAsia="Calibri" w:hAnsi="Calibri"/>
                <w:b/>
                <w:bCs/>
                <w:color w:val="C0293B"/>
                <w:sz w:val="18"/>
                <w:szCs w:val="18"/>
              </w:rPr>
              <w:t xml:space="preserve">Must</w:t>
            </w:r>
          </w:p>
        </w:tc>
      </w:tr>
    </w:tbl>
    <w:p>
      <w:pPr>
        <w:pStyle w:val="Heading2"/>
        <w:spacing w:after="140" w:before="300"/>
      </w:pPr>
      <w:r>
        <w:rPr>
          <w:rFonts w:ascii="Cambria" w:cs="Cambria" w:eastAsia="Cambria" w:hAnsi="Cambria"/>
          <w:b/>
          <w:bCs/>
          <w:color w:val="0B7A52"/>
          <w:sz w:val="24"/>
          <w:szCs w:val="24"/>
        </w:rPr>
        <w:t xml:space="preserve">5.4 Pantalla de proyección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600"/>
      </w:tblGrid>
      <w:tr>
        <w:trPr>
          <w:tblHeader/>
        </w:trPr>
        <w:tc>
          <w:tcPr>
            <w:tcW w:type="dxa" w:w="1100"/>
            <w:shd w:fill="1B2338"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ID</w:t>
            </w:r>
          </w:p>
        </w:tc>
        <w:tc>
          <w:tcPr>
            <w:tcW w:type="dxa" w:w="6900"/>
            <w:shd w:fill="1B2338"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Requerimiento</w:t>
            </w:r>
          </w:p>
        </w:tc>
        <w:tc>
          <w:tcPr>
            <w:tcW w:type="dxa" w:w="1600"/>
            <w:shd w:fill="1B2338"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Prioridad</w:t>
            </w:r>
          </w:p>
        </w:tc>
      </w:tr>
      <w:tr>
        <w:tc>
          <w:tcPr>
            <w:tcW w:type="dxa" w:w="1100"/>
            <w:shd w:fill="FFFFFF"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RF-22</w:t>
            </w:r>
          </w:p>
        </w:tc>
        <w:tc>
          <w:tcPr>
            <w:tcW w:type="dxa" w:w="6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Modo “Lobby”: mostrar el código de acceso y el QR en grande antes de empezar.</w:t>
            </w:r>
          </w:p>
        </w:tc>
        <w:tc>
          <w:tcPr>
            <w:tcW w:type="dxa" w:w="1600"/>
            <w:shd w:fill="FFFFFF" w:val="clear"/>
            <w:tcMar>
              <w:top w:type="dxa" w:w="90"/>
              <w:left w:type="dxa" w:w="110"/>
              <w:bottom w:type="dxa" w:w="90"/>
              <w:right w:type="dxa" w:w="110"/>
            </w:tcMar>
            <w:vAlign w:val="center"/>
          </w:tcPr>
          <w:p>
            <w:pPr>
              <w:jc w:val="center"/>
            </w:pPr>
            <w:r>
              <w:rPr>
                <w:rFonts w:ascii="Calibri" w:cs="Calibri" w:eastAsia="Calibri" w:hAnsi="Calibri"/>
                <w:b/>
                <w:bCs/>
                <w:color w:val="C0293B"/>
                <w:sz w:val="18"/>
                <w:szCs w:val="18"/>
              </w:rPr>
              <w:t xml:space="preserve">Must</w:t>
            </w:r>
          </w:p>
        </w:tc>
      </w:tr>
      <w:tr>
        <w:tc>
          <w:tcPr>
            <w:tcW w:type="dxa" w:w="1100"/>
            <w:shd w:fill="F2F4F7"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RF-23</w:t>
            </w:r>
          </w:p>
        </w:tc>
        <w:tc>
          <w:tcPr>
            <w:tcW w:type="dxa" w:w="6900"/>
            <w:shd w:fill="F2F4F7"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Modo “En curso”: cronómetro grande y lista de grupos con estado (conectado / enviado).</w:t>
            </w:r>
          </w:p>
        </w:tc>
        <w:tc>
          <w:tcPr>
            <w:tcW w:type="dxa" w:w="1600"/>
            <w:shd w:fill="F2F4F7" w:val="clear"/>
            <w:tcMar>
              <w:top w:type="dxa" w:w="90"/>
              <w:left w:type="dxa" w:w="110"/>
              <w:bottom w:type="dxa" w:w="90"/>
              <w:right w:type="dxa" w:w="110"/>
            </w:tcMar>
            <w:vAlign w:val="center"/>
          </w:tcPr>
          <w:p>
            <w:pPr>
              <w:jc w:val="center"/>
            </w:pPr>
            <w:r>
              <w:rPr>
                <w:rFonts w:ascii="Calibri" w:cs="Calibri" w:eastAsia="Calibri" w:hAnsi="Calibri"/>
                <w:b/>
                <w:bCs/>
                <w:color w:val="C0293B"/>
                <w:sz w:val="18"/>
                <w:szCs w:val="18"/>
              </w:rPr>
              <w:t xml:space="preserve">Must</w:t>
            </w:r>
          </w:p>
        </w:tc>
      </w:tr>
      <w:tr>
        <w:tc>
          <w:tcPr>
            <w:tcW w:type="dxa" w:w="1100"/>
            <w:shd w:fill="FFFFFF"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RF-24</w:t>
            </w:r>
          </w:p>
        </w:tc>
        <w:tc>
          <w:tcPr>
            <w:tcW w:type="dxa" w:w="6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Modo “Puesta en común”: mostrar la respuesta de cada grupo, una por vez, controlado por el facilitador.</w:t>
            </w:r>
          </w:p>
        </w:tc>
        <w:tc>
          <w:tcPr>
            <w:tcW w:type="dxa" w:w="1600"/>
            <w:shd w:fill="FFFFFF" w:val="clear"/>
            <w:tcMar>
              <w:top w:type="dxa" w:w="90"/>
              <w:left w:type="dxa" w:w="110"/>
              <w:bottom w:type="dxa" w:w="90"/>
              <w:right w:type="dxa" w:w="110"/>
            </w:tcMar>
            <w:vAlign w:val="center"/>
          </w:tcPr>
          <w:p>
            <w:pPr>
              <w:jc w:val="center"/>
            </w:pPr>
            <w:r>
              <w:rPr>
                <w:rFonts w:ascii="Calibri" w:cs="Calibri" w:eastAsia="Calibri" w:hAnsi="Calibri"/>
                <w:b/>
                <w:bCs/>
                <w:color w:val="C0293B"/>
                <w:sz w:val="18"/>
                <w:szCs w:val="18"/>
              </w:rPr>
              <w:t xml:space="preserve">Must</w:t>
            </w:r>
          </w:p>
        </w:tc>
      </w:tr>
      <w:tr>
        <w:tc>
          <w:tcPr>
            <w:tcW w:type="dxa" w:w="1100"/>
            <w:shd w:fill="F2F4F7"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RF-25</w:t>
            </w:r>
          </w:p>
        </w:tc>
        <w:tc>
          <w:tcPr>
            <w:tcW w:type="dxa" w:w="6900"/>
            <w:shd w:fill="F2F4F7"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Modo “Revelación”: mostrar el material con las 5 señales correctas marcadas, y el puntaje de cada Blue Team.</w:t>
            </w:r>
          </w:p>
        </w:tc>
        <w:tc>
          <w:tcPr>
            <w:tcW w:type="dxa" w:w="1600"/>
            <w:shd w:fill="F2F4F7" w:val="clear"/>
            <w:tcMar>
              <w:top w:type="dxa" w:w="90"/>
              <w:left w:type="dxa" w:w="110"/>
              <w:bottom w:type="dxa" w:w="90"/>
              <w:right w:type="dxa" w:w="110"/>
            </w:tcMar>
            <w:vAlign w:val="center"/>
          </w:tcPr>
          <w:p>
            <w:pPr>
              <w:jc w:val="center"/>
            </w:pPr>
            <w:r>
              <w:rPr>
                <w:rFonts w:ascii="Calibri" w:cs="Calibri" w:eastAsia="Calibri" w:hAnsi="Calibri"/>
                <w:b/>
                <w:bCs/>
                <w:color w:val="C0293B"/>
                <w:sz w:val="18"/>
                <w:szCs w:val="18"/>
              </w:rPr>
              <w:t xml:space="preserve">Must</w:t>
            </w:r>
          </w:p>
        </w:tc>
      </w:tr>
      <w:tr>
        <w:tc>
          <w:tcPr>
            <w:tcW w:type="dxa" w:w="1100"/>
            <w:shd w:fill="FFFFFF"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RF-26</w:t>
            </w:r>
          </w:p>
        </w:tc>
        <w:tc>
          <w:tcPr>
            <w:tcW w:type="dxa" w:w="6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Modo “Ranking”: tabla final de puntos por grupo, ordenada de mayor a menor.</w:t>
            </w:r>
          </w:p>
        </w:tc>
        <w:tc>
          <w:tcPr>
            <w:tcW w:type="dxa" w:w="1600"/>
            <w:shd w:fill="FFFFFF" w:val="clear"/>
            <w:tcMar>
              <w:top w:type="dxa" w:w="90"/>
              <w:left w:type="dxa" w:w="110"/>
              <w:bottom w:type="dxa" w:w="90"/>
              <w:right w:type="dxa" w:w="110"/>
            </w:tcMar>
            <w:vAlign w:val="center"/>
          </w:tcPr>
          <w:p>
            <w:pPr>
              <w:jc w:val="center"/>
            </w:pPr>
            <w:r>
              <w:rPr>
                <w:rFonts w:ascii="Calibri" w:cs="Calibri" w:eastAsia="Calibri" w:hAnsi="Calibri"/>
                <w:b/>
                <w:bCs/>
                <w:color w:val="2E5FA3"/>
                <w:sz w:val="18"/>
                <w:szCs w:val="18"/>
              </w:rPr>
              <w:t xml:space="preserve">Should</w:t>
            </w:r>
          </w:p>
        </w:tc>
      </w:tr>
      <w:tr>
        <w:tc>
          <w:tcPr>
            <w:tcW w:type="dxa" w:w="1100"/>
            <w:shd w:fill="F2F4F7"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RF-27</w:t>
            </w:r>
          </w:p>
        </w:tc>
        <w:tc>
          <w:tcPr>
            <w:tcW w:type="dxa" w:w="6900"/>
            <w:shd w:fill="F2F4F7"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Todas las pantallas de proyección se controlan a distancia desde el panel del facilitador (sin tocar la PC del proyector).</w:t>
            </w:r>
          </w:p>
        </w:tc>
        <w:tc>
          <w:tcPr>
            <w:tcW w:type="dxa" w:w="1600"/>
            <w:shd w:fill="F2F4F7" w:val="clear"/>
            <w:tcMar>
              <w:top w:type="dxa" w:w="90"/>
              <w:left w:type="dxa" w:w="110"/>
              <w:bottom w:type="dxa" w:w="90"/>
              <w:right w:type="dxa" w:w="110"/>
            </w:tcMar>
            <w:vAlign w:val="center"/>
          </w:tcPr>
          <w:p>
            <w:pPr>
              <w:jc w:val="center"/>
            </w:pPr>
            <w:r>
              <w:rPr>
                <w:rFonts w:ascii="Calibri" w:cs="Calibri" w:eastAsia="Calibri" w:hAnsi="Calibri"/>
                <w:b/>
                <w:bCs/>
                <w:color w:val="2E5FA3"/>
                <w:sz w:val="18"/>
                <w:szCs w:val="18"/>
              </w:rPr>
              <w:t xml:space="preserve">Should</w:t>
            </w:r>
          </w:p>
        </w:tc>
      </w:tr>
    </w:tbl>
    <w:p>
      <w:pPr>
        <w:pStyle w:val="Heading2"/>
        <w:spacing w:after="140" w:before="300"/>
      </w:pPr>
      <w:r>
        <w:rPr>
          <w:rFonts w:ascii="Cambria" w:cs="Cambria" w:eastAsia="Cambria" w:hAnsi="Cambria"/>
          <w:b/>
          <w:bCs/>
          <w:color w:val="0B7A52"/>
          <w:sz w:val="24"/>
          <w:szCs w:val="24"/>
        </w:rPr>
        <w:t xml:space="preserve">5.5 Puntaje y gamificación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600"/>
      </w:tblGrid>
      <w:tr>
        <w:trPr>
          <w:tblHeader/>
        </w:trPr>
        <w:tc>
          <w:tcPr>
            <w:tcW w:type="dxa" w:w="1100"/>
            <w:shd w:fill="1B2338"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ID</w:t>
            </w:r>
          </w:p>
        </w:tc>
        <w:tc>
          <w:tcPr>
            <w:tcW w:type="dxa" w:w="6900"/>
            <w:shd w:fill="1B2338"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Requerimiento</w:t>
            </w:r>
          </w:p>
        </w:tc>
        <w:tc>
          <w:tcPr>
            <w:tcW w:type="dxa" w:w="1600"/>
            <w:shd w:fill="1B2338"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Prioridad</w:t>
            </w:r>
          </w:p>
        </w:tc>
      </w:tr>
      <w:tr>
        <w:tc>
          <w:tcPr>
            <w:tcW w:type="dxa" w:w="1100"/>
            <w:shd w:fill="FFFFFF"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RF-28</w:t>
            </w:r>
          </w:p>
        </w:tc>
        <w:tc>
          <w:tcPr>
            <w:tcW w:type="dxa" w:w="6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Calcular automáticamente el puntaje del Blue Team: puntos fijos por cada anomalía marcada que coincide con las correctas del caso.</w:t>
            </w:r>
          </w:p>
        </w:tc>
        <w:tc>
          <w:tcPr>
            <w:tcW w:type="dxa" w:w="1600"/>
            <w:shd w:fill="FFFFFF" w:val="clear"/>
            <w:tcMar>
              <w:top w:type="dxa" w:w="90"/>
              <w:left w:type="dxa" w:w="110"/>
              <w:bottom w:type="dxa" w:w="90"/>
              <w:right w:type="dxa" w:w="110"/>
            </w:tcMar>
            <w:vAlign w:val="center"/>
          </w:tcPr>
          <w:p>
            <w:pPr>
              <w:jc w:val="center"/>
            </w:pPr>
            <w:r>
              <w:rPr>
                <w:rFonts w:ascii="Calibri" w:cs="Calibri" w:eastAsia="Calibri" w:hAnsi="Calibri"/>
                <w:b/>
                <w:bCs/>
                <w:color w:val="C0293B"/>
                <w:sz w:val="18"/>
                <w:szCs w:val="18"/>
              </w:rPr>
              <w:t xml:space="preserve">Must</w:t>
            </w:r>
          </w:p>
        </w:tc>
      </w:tr>
      <w:tr>
        <w:tc>
          <w:tcPr>
            <w:tcW w:type="dxa" w:w="1100"/>
            <w:shd w:fill="F2F4F7"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RF-29</w:t>
            </w:r>
          </w:p>
        </w:tc>
        <w:tc>
          <w:tcPr>
            <w:tcW w:type="dxa" w:w="6900"/>
            <w:shd w:fill="F2F4F7"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Restar o no puntuar los casilleros marcados que no correspondan a una anomalía real (evitar marcar “todo” como estrategia).</w:t>
            </w:r>
          </w:p>
        </w:tc>
        <w:tc>
          <w:tcPr>
            <w:tcW w:type="dxa" w:w="1600"/>
            <w:shd w:fill="F2F4F7" w:val="clear"/>
            <w:tcMar>
              <w:top w:type="dxa" w:w="90"/>
              <w:left w:type="dxa" w:w="110"/>
              <w:bottom w:type="dxa" w:w="90"/>
              <w:right w:type="dxa" w:w="110"/>
            </w:tcMar>
            <w:vAlign w:val="center"/>
          </w:tcPr>
          <w:p>
            <w:pPr>
              <w:jc w:val="center"/>
            </w:pPr>
            <w:r>
              <w:rPr>
                <w:rFonts w:ascii="Calibri" w:cs="Calibri" w:eastAsia="Calibri" w:hAnsi="Calibri"/>
                <w:b/>
                <w:bCs/>
                <w:color w:val="2E5FA3"/>
                <w:sz w:val="18"/>
                <w:szCs w:val="18"/>
              </w:rPr>
              <w:t xml:space="preserve">Should</w:t>
            </w:r>
          </w:p>
        </w:tc>
      </w:tr>
      <w:tr>
        <w:tc>
          <w:tcPr>
            <w:tcW w:type="dxa" w:w="1100"/>
            <w:shd w:fill="FFFFFF"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RF-30</w:t>
            </w:r>
          </w:p>
        </w:tc>
        <w:tc>
          <w:tcPr>
            <w:tcW w:type="dxa" w:w="6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Sumar un bono de puntos al primer grupo en enviar una respuesta completa y correcta.</w:t>
            </w:r>
          </w:p>
        </w:tc>
        <w:tc>
          <w:tcPr>
            <w:tcW w:type="dxa" w:w="1600"/>
            <w:shd w:fill="FFFFFF" w:val="clear"/>
            <w:tcMar>
              <w:top w:type="dxa" w:w="90"/>
              <w:left w:type="dxa" w:w="110"/>
              <w:bottom w:type="dxa" w:w="90"/>
              <w:right w:type="dxa" w:w="110"/>
            </w:tcMar>
            <w:vAlign w:val="center"/>
          </w:tcPr>
          <w:p>
            <w:pPr>
              <w:jc w:val="center"/>
            </w:pPr>
            <w:r>
              <w:rPr>
                <w:rFonts w:ascii="Calibri" w:cs="Calibri" w:eastAsia="Calibri" w:hAnsi="Calibri"/>
                <w:b/>
                <w:bCs/>
                <w:color w:val="5B6472"/>
                <w:sz w:val="18"/>
                <w:szCs w:val="18"/>
              </w:rPr>
              <w:t xml:space="preserve">Could</w:t>
            </w:r>
          </w:p>
        </w:tc>
      </w:tr>
      <w:tr>
        <w:tc>
          <w:tcPr>
            <w:tcW w:type="dxa" w:w="1100"/>
            <w:shd w:fill="F2F4F7"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RF-31</w:t>
            </w:r>
          </w:p>
        </w:tc>
        <w:tc>
          <w:tcPr>
            <w:tcW w:type="dxa" w:w="6900"/>
            <w:shd w:fill="F2F4F7"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El puntaje del Red Team es cualitativo (evaluado por el facilitador en vivo), no automático.</w:t>
            </w:r>
          </w:p>
        </w:tc>
        <w:tc>
          <w:tcPr>
            <w:tcW w:type="dxa" w:w="1600"/>
            <w:shd w:fill="F2F4F7" w:val="clear"/>
            <w:tcMar>
              <w:top w:type="dxa" w:w="90"/>
              <w:left w:type="dxa" w:w="110"/>
              <w:bottom w:type="dxa" w:w="90"/>
              <w:right w:type="dxa" w:w="110"/>
            </w:tcMar>
            <w:vAlign w:val="center"/>
          </w:tcPr>
          <w:p>
            <w:pPr>
              <w:jc w:val="center"/>
            </w:pPr>
            <w:r>
              <w:rPr>
                <w:rFonts w:ascii="Calibri" w:cs="Calibri" w:eastAsia="Calibri" w:hAnsi="Calibri"/>
                <w:b/>
                <w:bCs/>
                <w:color w:val="C0293B"/>
                <w:sz w:val="18"/>
                <w:szCs w:val="18"/>
              </w:rPr>
              <w:t xml:space="preserve">Must</w:t>
            </w:r>
          </w:p>
        </w:tc>
      </w:tr>
    </w:tbl>
    <w:p>
      <w:pPr>
        <w:pStyle w:val="Heading1"/>
        <w:pBdr>
          <w:bottom w:val="single" w:color="0F9D68" w:sz="6" w:space="4"/>
        </w:pBdr>
        <w:spacing w:after="200" w:before="420"/>
      </w:pPr>
      <w:r>
        <w:rPr>
          <w:rFonts w:ascii="Cambria" w:cs="Cambria" w:eastAsia="Cambria" w:hAnsi="Cambria"/>
          <w:b/>
          <w:bCs/>
          <w:color w:val="1B2338"/>
          <w:sz w:val="30"/>
          <w:szCs w:val="30"/>
        </w:rPr>
        <w:t xml:space="preserve">6. Requerimientos no funcionales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600"/>
      </w:tblGrid>
      <w:tr>
        <w:trPr>
          <w:tblHeader/>
        </w:trPr>
        <w:tc>
          <w:tcPr>
            <w:tcW w:type="dxa" w:w="1100"/>
            <w:shd w:fill="1B2338"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ID</w:t>
            </w:r>
          </w:p>
        </w:tc>
        <w:tc>
          <w:tcPr>
            <w:tcW w:type="dxa" w:w="6900"/>
            <w:shd w:fill="1B2338"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Requerimiento</w:t>
            </w:r>
          </w:p>
        </w:tc>
        <w:tc>
          <w:tcPr>
            <w:tcW w:type="dxa" w:w="1600"/>
            <w:shd w:fill="1B2338"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Prioridad</w:t>
            </w:r>
          </w:p>
        </w:tc>
      </w:tr>
      <w:tr>
        <w:tc>
          <w:tcPr>
            <w:tcW w:type="dxa" w:w="1100"/>
            <w:shd w:fill="FFFFFF"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RNF-01</w:t>
            </w:r>
          </w:p>
        </w:tc>
        <w:tc>
          <w:tcPr>
            <w:tcW w:type="dxa" w:w="6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100% web, sin instalación: debe abrir en el navegador del celular del alumno (Chrome/Safari) desde un link o QR.</w:t>
            </w:r>
          </w:p>
        </w:tc>
        <w:tc>
          <w:tcPr>
            <w:tcW w:type="dxa" w:w="1600"/>
            <w:shd w:fill="FFFFFF" w:val="clear"/>
            <w:tcMar>
              <w:top w:type="dxa" w:w="90"/>
              <w:left w:type="dxa" w:w="110"/>
              <w:bottom w:type="dxa" w:w="90"/>
              <w:right w:type="dxa" w:w="110"/>
            </w:tcMar>
            <w:vAlign w:val="center"/>
          </w:tcPr>
          <w:p>
            <w:pPr>
              <w:jc w:val="center"/>
            </w:pPr>
            <w:r>
              <w:rPr>
                <w:rFonts w:ascii="Calibri" w:cs="Calibri" w:eastAsia="Calibri" w:hAnsi="Calibri"/>
                <w:b/>
                <w:bCs/>
                <w:color w:val="C0293B"/>
                <w:sz w:val="18"/>
                <w:szCs w:val="18"/>
              </w:rPr>
              <w:t xml:space="preserve">Must</w:t>
            </w:r>
          </w:p>
        </w:tc>
      </w:tr>
      <w:tr>
        <w:tc>
          <w:tcPr>
            <w:tcW w:type="dxa" w:w="1100"/>
            <w:shd w:fill="F2F4F7"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RNF-02</w:t>
            </w:r>
          </w:p>
        </w:tc>
        <w:tc>
          <w:tcPr>
            <w:tcW w:type="dxa" w:w="6900"/>
            <w:shd w:fill="F2F4F7"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Soportar al menos 40 dispositivos conectados simultáneamente sobre la red Wi-Fi de una escuela (o datos móviles individuales).</w:t>
            </w:r>
          </w:p>
        </w:tc>
        <w:tc>
          <w:tcPr>
            <w:tcW w:type="dxa" w:w="1600"/>
            <w:shd w:fill="F2F4F7" w:val="clear"/>
            <w:tcMar>
              <w:top w:type="dxa" w:w="90"/>
              <w:left w:type="dxa" w:w="110"/>
              <w:bottom w:type="dxa" w:w="90"/>
              <w:right w:type="dxa" w:w="110"/>
            </w:tcMar>
            <w:vAlign w:val="center"/>
          </w:tcPr>
          <w:p>
            <w:pPr>
              <w:jc w:val="center"/>
            </w:pPr>
            <w:r>
              <w:rPr>
                <w:rFonts w:ascii="Calibri" w:cs="Calibri" w:eastAsia="Calibri" w:hAnsi="Calibri"/>
                <w:b/>
                <w:bCs/>
                <w:color w:val="C0293B"/>
                <w:sz w:val="18"/>
                <w:szCs w:val="18"/>
              </w:rPr>
              <w:t xml:space="preserve">Must</w:t>
            </w:r>
          </w:p>
        </w:tc>
      </w:tr>
      <w:tr>
        <w:tc>
          <w:tcPr>
            <w:tcW w:type="dxa" w:w="1100"/>
            <w:shd w:fill="FFFFFF"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RNF-03</w:t>
            </w:r>
          </w:p>
        </w:tc>
        <w:tc>
          <w:tcPr>
            <w:tcW w:type="dxa" w:w="6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Diseño mobile-first, con textos y botones legibles y grandes para uso rápido durante la clase.</w:t>
            </w:r>
          </w:p>
        </w:tc>
        <w:tc>
          <w:tcPr>
            <w:tcW w:type="dxa" w:w="1600"/>
            <w:shd w:fill="FFFFFF" w:val="clear"/>
            <w:tcMar>
              <w:top w:type="dxa" w:w="90"/>
              <w:left w:type="dxa" w:w="110"/>
              <w:bottom w:type="dxa" w:w="90"/>
              <w:right w:type="dxa" w:w="110"/>
            </w:tcMar>
            <w:vAlign w:val="center"/>
          </w:tcPr>
          <w:p>
            <w:pPr>
              <w:jc w:val="center"/>
            </w:pPr>
            <w:r>
              <w:rPr>
                <w:rFonts w:ascii="Calibri" w:cs="Calibri" w:eastAsia="Calibri" w:hAnsi="Calibri"/>
                <w:b/>
                <w:bCs/>
                <w:color w:val="C0293B"/>
                <w:sz w:val="18"/>
                <w:szCs w:val="18"/>
              </w:rPr>
              <w:t xml:space="preserve">Must</w:t>
            </w:r>
          </w:p>
        </w:tc>
      </w:tr>
      <w:tr>
        <w:tc>
          <w:tcPr>
            <w:tcW w:type="dxa" w:w="1100"/>
            <w:shd w:fill="F2F4F7"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RNF-04</w:t>
            </w:r>
          </w:p>
        </w:tc>
        <w:tc>
          <w:tcPr>
            <w:tcW w:type="dxa" w:w="6900"/>
            <w:shd w:fill="F2F4F7"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Tolerancia a conexión inestable: reconexión automática sin perder el borrador ya escrito.</w:t>
            </w:r>
          </w:p>
        </w:tc>
        <w:tc>
          <w:tcPr>
            <w:tcW w:type="dxa" w:w="1600"/>
            <w:shd w:fill="F2F4F7" w:val="clear"/>
            <w:tcMar>
              <w:top w:type="dxa" w:w="90"/>
              <w:left w:type="dxa" w:w="110"/>
              <w:bottom w:type="dxa" w:w="90"/>
              <w:right w:type="dxa" w:w="110"/>
            </w:tcMar>
            <w:vAlign w:val="center"/>
          </w:tcPr>
          <w:p>
            <w:pPr>
              <w:jc w:val="center"/>
            </w:pPr>
            <w:r>
              <w:rPr>
                <w:rFonts w:ascii="Calibri" w:cs="Calibri" w:eastAsia="Calibri" w:hAnsi="Calibri"/>
                <w:b/>
                <w:bCs/>
                <w:color w:val="C0293B"/>
                <w:sz w:val="18"/>
                <w:szCs w:val="18"/>
              </w:rPr>
              <w:t xml:space="preserve">Must</w:t>
            </w:r>
          </w:p>
        </w:tc>
      </w:tr>
      <w:tr>
        <w:tc>
          <w:tcPr>
            <w:tcW w:type="dxa" w:w="1100"/>
            <w:shd w:fill="FFFFFF"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RNF-05</w:t>
            </w:r>
          </w:p>
        </w:tc>
        <w:tc>
          <w:tcPr>
            <w:tcW w:type="dxa" w:w="6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Tiempo de carga inicial menor a 3 segundos en una red 4G promedio.</w:t>
            </w:r>
          </w:p>
        </w:tc>
        <w:tc>
          <w:tcPr>
            <w:tcW w:type="dxa" w:w="1600"/>
            <w:shd w:fill="FFFFFF" w:val="clear"/>
            <w:tcMar>
              <w:top w:type="dxa" w:w="90"/>
              <w:left w:type="dxa" w:w="110"/>
              <w:bottom w:type="dxa" w:w="90"/>
              <w:right w:type="dxa" w:w="110"/>
            </w:tcMar>
            <w:vAlign w:val="center"/>
          </w:tcPr>
          <w:p>
            <w:pPr>
              <w:jc w:val="center"/>
            </w:pPr>
            <w:r>
              <w:rPr>
                <w:rFonts w:ascii="Calibri" w:cs="Calibri" w:eastAsia="Calibri" w:hAnsi="Calibri"/>
                <w:b/>
                <w:bCs/>
                <w:color w:val="2E5FA3"/>
                <w:sz w:val="18"/>
                <w:szCs w:val="18"/>
              </w:rPr>
              <w:t xml:space="preserve">Should</w:t>
            </w:r>
          </w:p>
        </w:tc>
      </w:tr>
      <w:tr>
        <w:tc>
          <w:tcPr>
            <w:tcW w:type="dxa" w:w="1100"/>
            <w:shd w:fill="F2F4F7"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RNF-06</w:t>
            </w:r>
          </w:p>
        </w:tc>
        <w:tc>
          <w:tcPr>
            <w:tcW w:type="dxa" w:w="6900"/>
            <w:shd w:fill="F2F4F7"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Backend simple y de bajo costo operativo (ej. Firebase Firestore + Hosting, ya usado en proyectos previos).</w:t>
            </w:r>
          </w:p>
        </w:tc>
        <w:tc>
          <w:tcPr>
            <w:tcW w:type="dxa" w:w="1600"/>
            <w:shd w:fill="F2F4F7" w:val="clear"/>
            <w:tcMar>
              <w:top w:type="dxa" w:w="90"/>
              <w:left w:type="dxa" w:w="110"/>
              <w:bottom w:type="dxa" w:w="90"/>
              <w:right w:type="dxa" w:w="110"/>
            </w:tcMar>
            <w:vAlign w:val="center"/>
          </w:tcPr>
          <w:p>
            <w:pPr>
              <w:jc w:val="center"/>
            </w:pPr>
            <w:r>
              <w:rPr>
                <w:rFonts w:ascii="Calibri" w:cs="Calibri" w:eastAsia="Calibri" w:hAnsi="Calibri"/>
                <w:b/>
                <w:bCs/>
                <w:color w:val="2E5FA3"/>
                <w:sz w:val="18"/>
                <w:szCs w:val="18"/>
              </w:rPr>
              <w:t xml:space="preserve">Should</w:t>
            </w:r>
          </w:p>
        </w:tc>
      </w:tr>
      <w:tr>
        <w:tc>
          <w:tcPr>
            <w:tcW w:type="dxa" w:w="1100"/>
            <w:shd w:fill="FFFFFF"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RNF-07</w:t>
            </w:r>
          </w:p>
        </w:tc>
        <w:tc>
          <w:tcPr>
            <w:tcW w:type="dxa" w:w="6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Sin recolección de datos personales de los alumnos: solo nombre de grupo, sin nombre propio ni email.</w:t>
            </w:r>
          </w:p>
        </w:tc>
        <w:tc>
          <w:tcPr>
            <w:tcW w:type="dxa" w:w="1600"/>
            <w:shd w:fill="FFFFFF" w:val="clear"/>
            <w:tcMar>
              <w:top w:type="dxa" w:w="90"/>
              <w:left w:type="dxa" w:w="110"/>
              <w:bottom w:type="dxa" w:w="90"/>
              <w:right w:type="dxa" w:w="110"/>
            </w:tcMar>
            <w:vAlign w:val="center"/>
          </w:tcPr>
          <w:p>
            <w:pPr>
              <w:jc w:val="center"/>
            </w:pPr>
            <w:r>
              <w:rPr>
                <w:rFonts w:ascii="Calibri" w:cs="Calibri" w:eastAsia="Calibri" w:hAnsi="Calibri"/>
                <w:b/>
                <w:bCs/>
                <w:color w:val="C0293B"/>
                <w:sz w:val="18"/>
                <w:szCs w:val="18"/>
              </w:rPr>
              <w:t xml:space="preserve">Must</w:t>
            </w:r>
          </w:p>
        </w:tc>
      </w:tr>
      <w:tr>
        <w:tc>
          <w:tcPr>
            <w:tcW w:type="dxa" w:w="1100"/>
            <w:shd w:fill="F2F4F7"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RNF-08</w:t>
            </w:r>
          </w:p>
        </w:tc>
        <w:tc>
          <w:tcPr>
            <w:tcW w:type="dxa" w:w="6900"/>
            <w:shd w:fill="F2F4F7"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Estética visual coherente con el material del taller: modo oscuro, tipografía clara, colores diferenciados por rol (rojo / azul).</w:t>
            </w:r>
          </w:p>
        </w:tc>
        <w:tc>
          <w:tcPr>
            <w:tcW w:type="dxa" w:w="1600"/>
            <w:shd w:fill="F2F4F7" w:val="clear"/>
            <w:tcMar>
              <w:top w:type="dxa" w:w="90"/>
              <w:left w:type="dxa" w:w="110"/>
              <w:bottom w:type="dxa" w:w="90"/>
              <w:right w:type="dxa" w:w="110"/>
            </w:tcMar>
            <w:vAlign w:val="center"/>
          </w:tcPr>
          <w:p>
            <w:pPr>
              <w:jc w:val="center"/>
            </w:pPr>
            <w:r>
              <w:rPr>
                <w:rFonts w:ascii="Calibri" w:cs="Calibri" w:eastAsia="Calibri" w:hAnsi="Calibri"/>
                <w:b/>
                <w:bCs/>
                <w:color w:val="2E5FA3"/>
                <w:sz w:val="18"/>
                <w:szCs w:val="18"/>
              </w:rPr>
              <w:t xml:space="preserve">Should</w:t>
            </w:r>
          </w:p>
        </w:tc>
      </w:tr>
      <w:tr>
        <w:tc>
          <w:tcPr>
            <w:tcW w:type="dxa" w:w="1100"/>
            <w:shd w:fill="FFFFFF" w:val="clear"/>
            <w:tcMar>
              <w:top w:type="dxa" w:w="90"/>
              <w:left w:type="dxa" w:w="110"/>
              <w:bottom w:type="dxa" w:w="90"/>
              <w:right w:type="dxa" w:w="110"/>
            </w:tcMar>
            <w:vAlign w:val="center"/>
          </w:tcPr>
          <w:p>
            <w:pPr>
              <w:jc w:val="left"/>
            </w:pPr>
            <w:r>
              <w:rPr>
                <w:rFonts w:ascii="Calibri" w:cs="Calibri" w:eastAsia="Calibri" w:hAnsi="Calibri"/>
                <w:b/>
                <w:bCs/>
                <w:color w:val="1B2338"/>
                <w:sz w:val="18"/>
                <w:szCs w:val="18"/>
              </w:rPr>
              <w:t xml:space="preserve">RNF-09</w:t>
            </w:r>
          </w:p>
        </w:tc>
        <w:tc>
          <w:tcPr>
            <w:tcW w:type="dxa" w:w="6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338"/>
                <w:sz w:val="19"/>
                <w:szCs w:val="19"/>
              </w:rPr>
              <w:t xml:space="preserve">El panel del facilitador debe ser utilizable desde una notebook con proyector conectado, sin curva de aprendizaje previa.</w:t>
            </w:r>
          </w:p>
        </w:tc>
        <w:tc>
          <w:tcPr>
            <w:tcW w:type="dxa" w:w="1600"/>
            <w:shd w:fill="FFFFFF" w:val="clear"/>
            <w:tcMar>
              <w:top w:type="dxa" w:w="90"/>
              <w:left w:type="dxa" w:w="110"/>
              <w:bottom w:type="dxa" w:w="90"/>
              <w:right w:type="dxa" w:w="110"/>
            </w:tcMar>
            <w:vAlign w:val="center"/>
          </w:tcPr>
          <w:p>
            <w:pPr>
              <w:jc w:val="center"/>
            </w:pPr>
            <w:r>
              <w:rPr>
                <w:rFonts w:ascii="Calibri" w:cs="Calibri" w:eastAsia="Calibri" w:hAnsi="Calibri"/>
                <w:b/>
                <w:bCs/>
                <w:color w:val="C0293B"/>
                <w:sz w:val="18"/>
                <w:szCs w:val="18"/>
              </w:rPr>
              <w:t xml:space="preserve">Must</w:t>
            </w:r>
          </w:p>
        </w:tc>
      </w:tr>
    </w:tbl>
    <w:p>
      <w:pPr>
        <w:pStyle w:val="Heading1"/>
        <w:pBdr>
          <w:bottom w:val="single" w:color="0F9D68" w:sz="6" w:space="4"/>
        </w:pBdr>
        <w:spacing w:after="200" w:before="420"/>
      </w:pPr>
      <w:r>
        <w:rPr>
          <w:rFonts w:ascii="Cambria" w:cs="Cambria" w:eastAsia="Cambria" w:hAnsi="Cambria"/>
          <w:b/>
          <w:bCs/>
          <w:color w:val="1B2338"/>
          <w:sz w:val="30"/>
          <w:szCs w:val="30"/>
        </w:rPr>
        <w:t xml:space="preserve">7. Contenido y datos necesarios para el lanzamiento</w:t>
      </w:r>
    </w:p>
    <w:p>
      <w:pPr>
        <w:spacing w:after="160" w:line="276"/>
      </w:pPr>
      <w:r>
        <w:rPr>
          <w:rFonts w:ascii="Calibri" w:cs="Calibri" w:eastAsia="Calibri" w:hAnsi="Calibri"/>
          <w:b w:val="false"/>
          <w:bCs w:val="false"/>
          <w:i w:val="false"/>
          <w:iCs w:val="false"/>
          <w:color w:val="1B2338"/>
          <w:sz w:val="21"/>
          <w:szCs w:val="21"/>
        </w:rPr>
        <w:t xml:space="preserve">Para la primera sesión de uso real, el sistema debe incluir precargado:</w:t>
      </w:r>
    </w:p>
    <w:p>
      <w:pPr>
        <w:pStyle w:val="ListParagraph"/>
        <w:numPr>
          <w:ilvl w:val="0"/>
          <w:numId w:val="2"/>
        </w:numPr>
        <w:spacing w:after="90"/>
      </w:pPr>
      <w:r>
        <w:rPr>
          <w:rFonts w:ascii="Calibri" w:cs="Calibri" w:eastAsia="Calibri" w:hAnsi="Calibri"/>
          <w:color w:val="1B2338"/>
          <w:sz w:val="21"/>
          <w:szCs w:val="21"/>
        </w:rPr>
        <w:t xml:space="preserve">Caso 1 — “El correo del banco”: remitente, asunto y cuerpo del mail de phishing usado en el taller, con sus 5 anomalías etiquetadas para la corrección automática.</w:t>
      </w:r>
    </w:p>
    <w:p>
      <w:pPr>
        <w:pStyle w:val="ListParagraph"/>
        <w:numPr>
          <w:ilvl w:val="0"/>
          <w:numId w:val="2"/>
        </w:numPr>
        <w:spacing w:after="90"/>
      </w:pPr>
      <w:r>
        <w:rPr>
          <w:rFonts w:ascii="Calibri" w:cs="Calibri" w:eastAsia="Calibri" w:hAnsi="Calibri"/>
          <w:color w:val="1B2338"/>
          <w:sz w:val="21"/>
          <w:szCs w:val="21"/>
        </w:rPr>
        <w:t xml:space="preserve">Consigna de Red Team para el Caso 1 (texto guía).</w:t>
      </w:r>
    </w:p>
    <w:p>
      <w:pPr>
        <w:pStyle w:val="ListParagraph"/>
        <w:numPr>
          <w:ilvl w:val="0"/>
          <w:numId w:val="2"/>
        </w:numPr>
        <w:spacing w:after="90"/>
      </w:pPr>
      <w:r>
        <w:rPr>
          <w:rFonts w:ascii="Calibri" w:cs="Calibri" w:eastAsia="Calibri" w:hAnsi="Calibri"/>
          <w:color w:val="1B2338"/>
          <w:sz w:val="21"/>
          <w:szCs w:val="21"/>
        </w:rPr>
        <w:t xml:space="preserve">Consigna de Blue Team para el Caso 1: los 5 casilleros del checklist, sin la respuesta visible para el alumno.</w:t>
      </w:r>
    </w:p>
    <w:p>
      <w:pPr>
        <w:pStyle w:val="ListParagraph"/>
        <w:numPr>
          <w:ilvl w:val="0"/>
          <w:numId w:val="2"/>
        </w:numPr>
        <w:spacing w:after="90"/>
      </w:pPr>
      <w:r>
        <w:rPr>
          <w:rFonts w:ascii="Calibri" w:cs="Calibri" w:eastAsia="Calibri" w:hAnsi="Calibri"/>
          <w:color w:val="1B2338"/>
          <w:sz w:val="21"/>
          <w:szCs w:val="21"/>
        </w:rPr>
        <w:t xml:space="preserve">Textos de las pantallas de proyección (Lobby, Puesta en común, Revelación, Ranking).</w:t>
      </w:r>
    </w:p>
    <w:p>
      <w:pPr>
        <w:pStyle w:val="ListParagraph"/>
        <w:numPr>
          <w:ilvl w:val="0"/>
          <w:numId w:val="2"/>
        </w:numPr>
        <w:spacing w:after="90"/>
      </w:pPr>
      <w:r>
        <w:rPr>
          <w:rFonts w:ascii="Calibri" w:cs="Calibri" w:eastAsia="Calibri" w:hAnsi="Calibri"/>
          <w:color w:val="1B2338"/>
          <w:sz w:val="21"/>
          <w:szCs w:val="21"/>
        </w:rPr>
        <w:t xml:space="preserve">Un segundo caso de ejemplo (el chat de WhatsApp de la beca falsa) cargado como caso alternativo, para no depender de un único material.</w:t>
      </w:r>
    </w:p>
    <w:p>
      <w:pPr>
        <w:pStyle w:val="Heading1"/>
        <w:pBdr>
          <w:bottom w:val="single" w:color="0F9D68" w:sz="6" w:space="4"/>
        </w:pBdr>
        <w:spacing w:after="200" w:before="420"/>
      </w:pPr>
      <w:r>
        <w:rPr>
          <w:rFonts w:ascii="Cambria" w:cs="Cambria" w:eastAsia="Cambria" w:hAnsi="Cambria"/>
          <w:b/>
          <w:bCs/>
          <w:color w:val="1B2338"/>
          <w:sz w:val="30"/>
          <w:szCs w:val="30"/>
        </w:rPr>
        <w:t xml:space="preserve">8. Métricas de éxito</w:t>
      </w:r>
    </w:p>
    <w:p>
      <w:pPr>
        <w:pStyle w:val="ListParagraph"/>
        <w:numPr>
          <w:ilvl w:val="0"/>
          <w:numId w:val="2"/>
        </w:numPr>
        <w:spacing w:after="90"/>
      </w:pPr>
      <w:r>
        <w:rPr>
          <w:rFonts w:ascii="Calibri" w:cs="Calibri" w:eastAsia="Calibri" w:hAnsi="Calibri"/>
          <w:color w:val="1B2338"/>
          <w:sz w:val="21"/>
          <w:szCs w:val="21"/>
        </w:rPr>
        <w:t xml:space="preserve">El facilitador puede armar y lanzar una sesión completa en menos de 3 minutos sin ayuda externa.</w:t>
      </w:r>
    </w:p>
    <w:p>
      <w:pPr>
        <w:pStyle w:val="ListParagraph"/>
        <w:numPr>
          <w:ilvl w:val="0"/>
          <w:numId w:val="2"/>
        </w:numPr>
        <w:spacing w:after="90"/>
      </w:pPr>
      <w:r>
        <w:rPr>
          <w:rFonts w:ascii="Calibri" w:cs="Calibri" w:eastAsia="Calibri" w:hAnsi="Calibri"/>
          <w:color w:val="1B2338"/>
          <w:sz w:val="21"/>
          <w:szCs w:val="21"/>
        </w:rPr>
        <w:t xml:space="preserve">Al menos el 90% de los grupos logra enviar una respuesta antes de que termine el cronómetro.</w:t>
      </w:r>
    </w:p>
    <w:p>
      <w:pPr>
        <w:pStyle w:val="ListParagraph"/>
        <w:numPr>
          <w:ilvl w:val="0"/>
          <w:numId w:val="2"/>
        </w:numPr>
        <w:spacing w:after="90"/>
      </w:pPr>
      <w:r>
        <w:rPr>
          <w:rFonts w:ascii="Calibri" w:cs="Calibri" w:eastAsia="Calibri" w:hAnsi="Calibri"/>
          <w:color w:val="1B2338"/>
          <w:sz w:val="21"/>
          <w:szCs w:val="21"/>
        </w:rPr>
        <w:t xml:space="preserve">La puesta en común y la revelación se arman automáticamente, sin que el facilitador tenga que anotar nada a mano.</w:t>
      </w:r>
    </w:p>
    <w:p>
      <w:pPr>
        <w:pStyle w:val="ListParagraph"/>
        <w:numPr>
          <w:ilvl w:val="0"/>
          <w:numId w:val="2"/>
        </w:numPr>
        <w:spacing w:after="90"/>
      </w:pPr>
      <w:r>
        <w:rPr>
          <w:rFonts w:ascii="Calibri" w:cs="Calibri" w:eastAsia="Calibri" w:hAnsi="Calibri"/>
          <w:color w:val="1B2338"/>
          <w:sz w:val="21"/>
          <w:szCs w:val="21"/>
        </w:rPr>
        <w:t xml:space="preserve">El sistema funciona sin caídas con 30+ dispositivos conectados en una red escolar real (prueba de campo en al menos un colegio).</w:t>
      </w:r>
    </w:p>
    <w:p>
      <w:pPr>
        <w:pStyle w:val="Heading1"/>
        <w:pBdr>
          <w:bottom w:val="single" w:color="0F9D68" w:sz="6" w:space="4"/>
        </w:pBdr>
        <w:spacing w:after="200" w:before="420"/>
      </w:pPr>
      <w:r>
        <w:rPr>
          <w:rFonts w:ascii="Cambria" w:cs="Cambria" w:eastAsia="Cambria" w:hAnsi="Cambria"/>
          <w:b/>
          <w:bCs/>
          <w:color w:val="1B2338"/>
          <w:sz w:val="30"/>
          <w:szCs w:val="30"/>
        </w:rPr>
        <w:t xml:space="preserve">9. Fuera de alcance en v1 / futuras iteraciones</w:t>
      </w:r>
    </w:p>
    <w:p>
      <w:pPr>
        <w:pStyle w:val="ListParagraph"/>
        <w:numPr>
          <w:ilvl w:val="0"/>
          <w:numId w:val="2"/>
        </w:numPr>
        <w:spacing w:after="90"/>
      </w:pPr>
      <w:r>
        <w:rPr>
          <w:rFonts w:ascii="Calibri" w:cs="Calibri" w:eastAsia="Calibri" w:hAnsi="Calibri"/>
          <w:color w:val="1B2338"/>
          <w:sz w:val="21"/>
          <w:szCs w:val="21"/>
        </w:rPr>
        <w:t xml:space="preserve">Editor visual de casos (arrastrar y soltar anomalías sobre un mockup de correo o chat).</w:t>
      </w:r>
    </w:p>
    <w:p>
      <w:pPr>
        <w:pStyle w:val="ListParagraph"/>
        <w:numPr>
          <w:ilvl w:val="0"/>
          <w:numId w:val="2"/>
        </w:numPr>
        <w:spacing w:after="90"/>
      </w:pPr>
      <w:r>
        <w:rPr>
          <w:rFonts w:ascii="Calibri" w:cs="Calibri" w:eastAsia="Calibri" w:hAnsi="Calibri"/>
          <w:color w:val="1B2338"/>
          <w:sz w:val="21"/>
          <w:szCs w:val="21"/>
        </w:rPr>
        <w:t xml:space="preserve">Biblioteca pública de casos compartidos entre docentes que usan la herramienta.</w:t>
      </w:r>
    </w:p>
    <w:p>
      <w:pPr>
        <w:pStyle w:val="ListParagraph"/>
        <w:numPr>
          <w:ilvl w:val="0"/>
          <w:numId w:val="2"/>
        </w:numPr>
        <w:spacing w:after="90"/>
      </w:pPr>
      <w:r>
        <w:rPr>
          <w:rFonts w:ascii="Calibri" w:cs="Calibri" w:eastAsia="Calibri" w:hAnsi="Calibri"/>
          <w:color w:val="1B2338"/>
          <w:sz w:val="21"/>
          <w:szCs w:val="21"/>
        </w:rPr>
        <w:t xml:space="preserve">Historial multi-sesión por colegio, con estadísticas de qué anomalías cuesta más detectar en general.</w:t>
      </w:r>
    </w:p>
    <w:p>
      <w:pPr>
        <w:pStyle w:val="ListParagraph"/>
        <w:numPr>
          <w:ilvl w:val="0"/>
          <w:numId w:val="2"/>
        </w:numPr>
        <w:spacing w:after="90"/>
      </w:pPr>
      <w:r>
        <w:rPr>
          <w:rFonts w:ascii="Calibri" w:cs="Calibri" w:eastAsia="Calibri" w:hAnsi="Calibri"/>
          <w:color w:val="1B2338"/>
          <w:sz w:val="21"/>
          <w:szCs w:val="21"/>
        </w:rPr>
        <w:t xml:space="preserve">Integración directa del bloque “Mito o Realidad” (tipo Kahoot) dentro de la misma plataforma.</w:t>
      </w:r>
    </w:p>
    <w:p>
      <w:pPr>
        <w:pStyle w:val="ListParagraph"/>
        <w:numPr>
          <w:ilvl w:val="0"/>
          <w:numId w:val="2"/>
        </w:numPr>
        <w:spacing w:after="90"/>
      </w:pPr>
      <w:r>
        <w:rPr>
          <w:rFonts w:ascii="Calibri" w:cs="Calibri" w:eastAsia="Calibri" w:hAnsi="Calibri"/>
          <w:color w:val="1B2338"/>
          <w:sz w:val="21"/>
          <w:szCs w:val="21"/>
        </w:rPr>
        <w:t xml:space="preserve">Modo asincrónico para que un grupo complete la actividad fuera del horario de clase (tarea).</w:t>
      </w:r>
    </w:p>
    <w:p>
      <w:pPr>
        <w:spacing w:before="260"/>
      </w:pPr>
    </w:p>
    <w:p>
      <w:pPr>
        <w:pBdr>
          <w:top w:val="single" w:color="D9DCE3" w:sz="4" w:space="8"/>
        </w:pBdr>
        <w:spacing w:before="200"/>
      </w:pPr>
      <w:r>
        <w:rPr>
          <w:rFonts w:ascii="Calibri" w:cs="Calibri" w:eastAsia="Calibri" w:hAnsi="Calibri"/>
          <w:i/>
          <w:iCs/>
          <w:color w:val="5B6472"/>
          <w:sz w:val="18"/>
          <w:szCs w:val="18"/>
        </w:rPr>
        <w:t xml:space="preserve">Fin del documento.</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2"/>
        <w:sz w:val="15"/>
        <w:szCs w:val="15"/>
      </w:rPr>
      <w:t xml:space="preserve">Red Team vs Blue Team — CSI Digital  ·  Página </w:t>
    </w:r>
    <w:r>
      <w:rPr>
        <w:rFonts w:ascii="Calibri" w:cs="Calibri" w:eastAsia="Calibri" w:hAnsi="Calibri"/>
        <w:color w:val="5B6472"/>
        <w:sz w:val="15"/>
        <w:szCs w:val="15"/>
      </w:rPr>
      <w:fldChar w:fldCharType="begin"/>
      <w:instrText xml:space="preserve">PAGE</w:instrText>
      <w:fldChar w:fldCharType="separate"/>
      <w:fldChar w:fldCharType="end"/>
    </w:r>
    <w:r>
      <w:rPr>
        <w:rFonts w:ascii="Calibri" w:cs="Calibri" w:eastAsia="Calibri" w:hAnsi="Calibri"/>
        <w:color w:val="5B6472"/>
        <w:sz w:val="15"/>
        <w:szCs w:val="15"/>
      </w:rPr>
      <w:t xml:space="preserve"> de </w:t>
    </w:r>
    <w:r>
      <w:rPr>
        <w:rFonts w:ascii="Calibri" w:cs="Calibri" w:eastAsia="Calibri" w:hAnsi="Calibri"/>
        <w:color w:val="5B64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CE3" w:sz="4" w:space="4"/>
      </w:pBdr>
      <w:jc w:val="right"/>
    </w:pPr>
    <w:r>
      <w:rPr>
        <w:rFonts w:ascii="Calibri" w:cs="Calibri" w:eastAsia="Calibri" w:hAnsi="Calibri"/>
        <w:color w:val="5B6472"/>
        <w:spacing w:val="8"/>
        <w:sz w:val="15"/>
        <w:szCs w:val="15"/>
      </w:rPr>
      <w:t xml:space="preserve">ANTIGRAVITY · Documento de Requerimientos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2026-08-13T21:07:23.640Z</dcterms:created>
  <dcterms:modified xsi:type="dcterms:W3CDTF">2026-08-13T21:07:23.641Z</dcterms:modified>
</cp:coreProperties>
</file>

<file path=docProps/custom.xml><?xml version="1.0" encoding="utf-8"?>
<Properties xmlns="http://schemas.openxmlformats.org/officeDocument/2006/custom-properties" xmlns:vt="http://schemas.openxmlformats.org/officeDocument/2006/docPropsVTypes"/>
</file>