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京津冀绿色转型概述</w:t>
      </w:r>
    </w:p>
    <w:p>
      <w:pPr>
        <w:jc w:val="center"/>
      </w:pPr>
      <w:r>
        <w:rPr>
          <w:color w:val="4B5563"/>
          <w:sz w:val="22"/>
        </w:rPr>
        <w:t>产业结构 能源系统与城市治理</w:t>
      </w:r>
    </w:p>
    <w:p>
      <w:pPr>
        <w:pStyle w:val="Heading1"/>
      </w:pPr>
      <w:r>
        <w:t>1  北京</w:t>
      </w:r>
    </w:p>
    <w:p>
      <w:pPr>
        <w:ind w:firstLine="420"/>
        <w:jc w:val="both"/>
      </w:pPr>
      <w:r>
        <w:t>北京的绿色转型已从目标设定转向投资决策、城市运行和技术应用的系统重塑。市级碳达峰方案构成总体框架，固定资产投资项目节能审查和碳排放评价把能源与碳约束前移至项目立项阶段，可再生能源开发利用条例以及建设项目全过程监督制度，则把开发利用责任延伸至规划、建设、验收和运行环节。产业政策的重点不是扩大高耗能制造，而是依托科技创新、数字经济和专业服务能力，提高节能技术、绿色工厂、绿色供应链与碳管理服务的扩散效率。建筑、交通和公共机构是城市端减排的主要场景，既有建筑改造、综合能源站、公共领域车辆电动化和废旧动力电池回收正在形成相互连接的政策链条。区级实践进一步体现功能差异：城市副中心重视产业与城市建设同步降碳，经开区突出先进制造业和园区转型，西城侧重公共机构与绿色项目支持，密云等生态涵养区更强调生态价值保护与低碳发展结合。北京面临的关键矛盾，是本地能源资源有限而能源消费和高品质城市运行需求刚性较强，因此其转型成效不仅取决于本地节能，还取决于能否通过绿电交易、跨区域能源基础设施和统一碳核算规则，将外部清洁能源供给转化为可核验的消费侧减排。同时，数据中心、人工智能等新型用能需求增长，要求北京在创新产业扩张与能效约束之间建立更精细的动态平衡。</w:t>
      </w:r>
    </w:p>
    <w:p>
      <w:pPr>
        <w:pStyle w:val="Heading2"/>
      </w:pPr>
      <w:r>
        <w:t>参考文件</w:t>
      </w:r>
    </w:p>
    <w:p>
      <w:pPr>
        <w:ind w:left="240" w:hanging="240"/>
      </w:pPr>
      <w:r>
        <w:rPr>
          <w:sz w:val="18"/>
        </w:rPr>
        <w:t xml:space="preserve">[1] 北京市人民政府. 北京市碳达峰实施方案[2022-10-14]. </w:t>
      </w:r>
      <w:r>
        <w:rPr>
          <w:rFonts w:ascii="Times New Roman" w:hAnsi="Times New Roman"/>
          <w:color w:val="22577A"/>
          <w:sz w:val="17"/>
        </w:rPr>
        <w:t>https://www.beijing.gov.cn/zhengce/zcjd/202210/t20221017_2837231.html</w:t>
      </w:r>
    </w:p>
    <w:p>
      <w:pPr>
        <w:ind w:left="240" w:hanging="240"/>
      </w:pPr>
      <w:r>
        <w:rPr>
          <w:sz w:val="18"/>
        </w:rPr>
        <w:t xml:space="preserve">[2] 北京市发展和改革委员会通知通告. 北京市发展和改革委员会关于印发《北京市固定资产投资项目节能审查和碳排放评价实施办法》的通知-本委规范性文件[2026-09-01]. </w:t>
      </w:r>
      <w:r>
        <w:rPr>
          <w:rFonts w:ascii="Times New Roman" w:hAnsi="Times New Roman"/>
          <w:color w:val="22577A"/>
          <w:sz w:val="17"/>
        </w:rPr>
        <w:t>https://fgw.beijing.gov.cn/fgwzwgk/2024zcwj/bwgfxwj/202608/t20260817_4826124.htm</w:t>
      </w:r>
    </w:p>
    <w:p>
      <w:pPr>
        <w:ind w:left="240" w:hanging="240"/>
      </w:pPr>
      <w:r>
        <w:rPr>
          <w:sz w:val="18"/>
        </w:rPr>
        <w:t xml:space="preserve">[3] 北京市经济和信息化局通知公告. 北京市经济和信息化局关于印发《北京市促进制造业和信息软件业绿色低碳发展的若干措施》的通知[2024-04-16]. </w:t>
      </w:r>
      <w:r>
        <w:rPr>
          <w:rFonts w:ascii="Times New Roman" w:hAnsi="Times New Roman"/>
          <w:color w:val="22577A"/>
          <w:sz w:val="17"/>
        </w:rPr>
        <w:t>https://jxj.beijing.gov.cn/zwgk/2024zcwj/202405/t20240530_3699988.html</w:t>
      </w:r>
    </w:p>
    <w:p>
      <w:pPr>
        <w:ind w:left="240" w:hanging="240"/>
      </w:pPr>
      <w:r>
        <w:rPr>
          <w:sz w:val="18"/>
        </w:rPr>
        <w:t xml:space="preserve">[4] 北京市发展和改革委员会通知通告. 北京市可再生能源开发利用条例-地方性法规[2025-05-01]. </w:t>
      </w:r>
      <w:r>
        <w:rPr>
          <w:rFonts w:ascii="Times New Roman" w:hAnsi="Times New Roman"/>
          <w:color w:val="22577A"/>
          <w:sz w:val="17"/>
        </w:rPr>
        <w:t>https://fgw.beijing.gov.cn/fgwzwgk/2024zcwj/flfggz/fg/dfxfg/202503/t20250328_4048144.htm</w:t>
      </w:r>
    </w:p>
    <w:p>
      <w:pPr>
        <w:ind w:left="240" w:hanging="240"/>
      </w:pPr>
      <w:r>
        <w:rPr>
          <w:sz w:val="18"/>
        </w:rPr>
        <w:t xml:space="preserve">[5] 北京市住房和城乡建设委员会. 北京市住房和城乡建设委员会 北京市规划和自然资源委员会关于印发《北京市绿色建筑标识管理办法》的通知[2025-11-27]. </w:t>
      </w:r>
      <w:r>
        <w:rPr>
          <w:rFonts w:ascii="Times New Roman" w:hAnsi="Times New Roman"/>
          <w:color w:val="22577A"/>
          <w:sz w:val="17"/>
        </w:rPr>
        <w:t>https://zjw.beijing.gov.cn/bjjs/xxgk/zcwj2024/gfxwj40/xxyx/436471607/index.shtml</w:t>
      </w:r>
    </w:p>
    <w:p>
      <w:pPr>
        <w:ind w:left="240" w:hanging="240"/>
      </w:pPr>
      <w:r>
        <w:rPr>
          <w:sz w:val="18"/>
        </w:rPr>
        <w:t xml:space="preserve">[6] 北京市西城区人民政府. 4-2关于印发《西城区促进绿色低碳高质量发展若干措施》的通知.pdf[2024-06-24]. </w:t>
      </w:r>
      <w:r>
        <w:rPr>
          <w:rFonts w:ascii="Times New Roman" w:hAnsi="Times New Roman"/>
          <w:color w:val="22577A"/>
          <w:sz w:val="17"/>
        </w:rPr>
        <w:t>https://www.bjxch.gov.cn/file/20240626/1719384845993093288.pdf</w:t>
      </w:r>
    </w:p>
    <w:p>
      <w:pPr>
        <w:pStyle w:val="Heading1"/>
      </w:pPr>
      <w:r>
        <w:t>2  天津</w:t>
      </w:r>
    </w:p>
    <w:p>
      <w:pPr>
        <w:ind w:firstLine="420"/>
        <w:jc w:val="both"/>
      </w:pPr>
      <w:r>
        <w:t>天津的绿色转型具有鲜明的港口工业城市特征，工业体系、港口物流和城市能源系统必须同步调整。市级碳达峰方案与工业领域碳达峰方案确定了能源结构优化、重点行业能效提升和资源循环利用的基本方向；固定资产投资项目节能审查与碳排放评价、温室气体重点排放单位核查等制度，则逐步把转型要求落实到企业和项目。能源方面，盐光互补、公共机构光伏、氢能和新能源汽车等应用，与天津既有的电力、石化和装备制造体系相互嵌合。交通方面，港口岸电、港内运输、重型货运和城市车辆更新共同决定港口经济的减排幅度，单纯扩大新能源车辆数量并不足以替代港航、铁路和公路之间的结构调整。工业方面，石化、钢铁、装备制造和汽车产业需要在设备更新、原料替代、过程电气化和资源循环利用之间形成连续改造路径。天津各区的转型条件差异明显：滨海新区承担港口和工业减排重任，津南等区域具备可再生能源项目基础，中心城区更侧重建筑、交通与公共机构节能。天津的优势在于产业链完整、港口场景集中，便于形成规模化示范；其难点在于存量设施资本强度高、更新周期长，能源价格、技术成熟度和产业竞争力会直接影响改造节奏。未来几年，天津能否把企业碳核查、港口能源数据和区级项目进度连接起来，将决定其能否从单项工程推进转向港产城整体转型。</w:t>
      </w:r>
    </w:p>
    <w:p>
      <w:pPr>
        <w:pStyle w:val="Heading2"/>
      </w:pPr>
      <w:r>
        <w:t>参考文件</w:t>
      </w:r>
    </w:p>
    <w:p>
      <w:pPr>
        <w:ind w:left="240" w:hanging="240"/>
      </w:pPr>
      <w:r>
        <w:rPr>
          <w:sz w:val="18"/>
        </w:rPr>
        <w:t xml:space="preserve">[1] 天津市武清区人民政府. 武清区生态环境局关于转发天津市碳达峰实施方案的通知[2022-09-16]. </w:t>
      </w:r>
      <w:r>
        <w:rPr>
          <w:rFonts w:ascii="Times New Roman" w:hAnsi="Times New Roman"/>
          <w:color w:val="22577A"/>
          <w:sz w:val="17"/>
        </w:rPr>
        <w:t>https://www.tjwq.gov.cn/zwgk/zcwj/wqqzc/qsthjj/202209/t20220916_5989902.html</w:t>
      </w:r>
    </w:p>
    <w:p>
      <w:pPr>
        <w:ind w:left="240" w:hanging="240"/>
      </w:pPr>
      <w:r>
        <w:rPr>
          <w:sz w:val="18"/>
        </w:rPr>
        <w:t xml:space="preserve">[2] 天津市工业和信息化局. 市工业和信息化局 市发展改革委 市生态环境局关于印发天津市工业领域碳达峰实施方案的通知[2022-12-29]. </w:t>
      </w:r>
      <w:r>
        <w:rPr>
          <w:rFonts w:ascii="Times New Roman" w:hAnsi="Times New Roman"/>
          <w:color w:val="22577A"/>
          <w:sz w:val="17"/>
        </w:rPr>
        <w:t>https://gyxxh.tj.gov.cn/ZWGK4147/ZCWJ6355/wjwj/202212/t20221229_6064437.html</w:t>
      </w:r>
    </w:p>
    <w:p>
      <w:pPr>
        <w:ind w:left="240" w:hanging="240"/>
      </w:pPr>
      <w:r>
        <w:rPr>
          <w:sz w:val="18"/>
        </w:rPr>
        <w:t xml:space="preserve">[3] 天津市生态环境局. 市生态环境局关于印发《天津市温室气体重点排放单位核查工作指南（试行）》的通知[2026-06-26]. </w:t>
      </w:r>
      <w:r>
        <w:rPr>
          <w:rFonts w:ascii="Times New Roman" w:hAnsi="Times New Roman"/>
          <w:color w:val="22577A"/>
          <w:sz w:val="17"/>
        </w:rPr>
        <w:t>https://sthj.tj.gov.cn/ZWGK4828/ZCWJ6738/sthjjwj/202606/t20260626_7325209.html</w:t>
      </w:r>
    </w:p>
    <w:p>
      <w:pPr>
        <w:ind w:left="240" w:hanging="240"/>
      </w:pPr>
      <w:r>
        <w:rPr>
          <w:sz w:val="18"/>
        </w:rPr>
        <w:t xml:space="preserve">[4] 天津市发展和改革委员会. 市发展改革委关于印发天津市固定资产投资项目节能审查和碳排放评价实施办法的通知[2025-12-30]. </w:t>
      </w:r>
      <w:r>
        <w:rPr>
          <w:rFonts w:ascii="Times New Roman" w:hAnsi="Times New Roman"/>
          <w:color w:val="22577A"/>
          <w:sz w:val="17"/>
        </w:rPr>
        <w:t>https://fzgg.tj.gov.cn/zwgk_47325/zcfg_47338/zcwjx/fgwj/202512/t20251230_7211808.html</w:t>
      </w:r>
    </w:p>
    <w:p>
      <w:pPr>
        <w:ind w:left="240" w:hanging="240"/>
      </w:pPr>
      <w:r>
        <w:rPr>
          <w:sz w:val="18"/>
        </w:rPr>
        <w:t xml:space="preserve">[5] 天津市津南区发展和改革委员会. 天津市津南区可再生能源专项规划（2024-2030年）[2024-11-22]. </w:t>
      </w:r>
      <w:r>
        <w:rPr>
          <w:rFonts w:ascii="Times New Roman" w:hAnsi="Times New Roman"/>
          <w:color w:val="22577A"/>
          <w:sz w:val="17"/>
        </w:rPr>
        <w:t>https://www.tjjn.gov.cn/zwgk/zcwj/qjwj/qfgw100/202503/t20250313_6881964.html</w:t>
      </w:r>
    </w:p>
    <w:p>
      <w:pPr>
        <w:ind w:left="240" w:hanging="240"/>
      </w:pPr>
      <w:r>
        <w:rPr>
          <w:sz w:val="18"/>
        </w:rPr>
        <w:t xml:space="preserve">[6] 天津市生态环境局. 市生态环境局 市城市管理委 市交通运输委 市公安局关于进一步鼓励新能源建筑垃圾运输车辆推广使用的通知[2026-04-08]. </w:t>
      </w:r>
      <w:r>
        <w:rPr>
          <w:rFonts w:ascii="Times New Roman" w:hAnsi="Times New Roman"/>
          <w:color w:val="22577A"/>
          <w:sz w:val="17"/>
        </w:rPr>
        <w:t>https://sthj.tj.gov.cn/ZWGK4828/ZCWJ6738/sthjjwj/202604/t20260408_7278132.html</w:t>
      </w:r>
    </w:p>
    <w:p>
      <w:pPr>
        <w:pStyle w:val="Heading1"/>
      </w:pPr>
      <w:r>
        <w:t>3  河北</w:t>
      </w:r>
    </w:p>
    <w:p>
      <w:pPr>
        <w:ind w:firstLine="420"/>
        <w:jc w:val="both"/>
      </w:pPr>
      <w:r>
        <w:t>河北的绿色转型首先是一场产业结构与能源供给方式的深度调整。钢铁、建材、化工和传统能源相关产业体量较大，使河北既承担较高的减排压力，也掌握京津冀产业链中不可替代的制造能力。工业领域碳达峰政策将节能降碳改造、绿色制造、资源综合利用和产业结构优化置于核心位置；对钢铁等行业而言，短期重点仍是能效提升、超低排放、余能利用和运输清洁化，中长期则取决于电炉钢、氢冶金、低碳原料和绿电供给的成本与规模。河北同时拥有张家口等可再生能源基地和广阔的新能源开发空间，其角色不仅是降低本地排放，也包括为京津提供稳定的清洁电力和调节能力。唐山、邯郸、沧州等工业城市需要处理高碳产业改造与就业、财政和产业链安全之间的关系；雄安新区可在绿色建筑、数字化能源管理和低碳城市基础设施方面形成增量示范；廊坊、保定等环京城市则与北京产业疏解、交通联系和空气质量协同高度相关。河北转型的难点在于成本和收益在区域间并不天然对称：清洁能源基地、生态保护和工业改造投资主要发生在河北，而部分能源消费和高附加值服务收益位于京津。由此，跨区域绿电交易、生态补偿、产业链协作和基础设施共建，不只是环境政策的补充，而是河北持续推进转型的重要经济条件。河北的转型速度最终取决于高碳产业能否形成具有市场竞争力的低碳产品，以及清洁能源优势能否转化为本地产业升级和长期收益。</w:t>
      </w:r>
    </w:p>
    <w:p>
      <w:pPr>
        <w:pStyle w:val="Heading2"/>
      </w:pPr>
      <w:r>
        <w:t>参考文件</w:t>
      </w:r>
    </w:p>
    <w:p>
      <w:pPr>
        <w:ind w:left="240" w:hanging="240"/>
      </w:pPr>
      <w:r>
        <w:rPr>
          <w:sz w:val="18"/>
        </w:rPr>
        <w:t xml:space="preserve">[1] 河北省工业和信息化厅. 河北省工业领域碳达峰实施方案[2023-06-25]. </w:t>
      </w:r>
      <w:r>
        <w:rPr>
          <w:rFonts w:ascii="Times New Roman" w:hAnsi="Times New Roman"/>
          <w:color w:val="22577A"/>
          <w:sz w:val="17"/>
        </w:rPr>
        <w:t>https://gxt.hebei.gov.cn/sme/zc/zxzc/2025042122105668875/index.html</w:t>
      </w:r>
    </w:p>
    <w:p>
      <w:pPr>
        <w:ind w:left="240" w:hanging="240"/>
      </w:pPr>
      <w:r>
        <w:rPr>
          <w:sz w:val="18"/>
        </w:rPr>
        <w:t xml:space="preserve">[2] 河北省生态环境厅. 河北省生态环境行政处罚裁量规则（碳排放相关条款）[2024-08-15]. </w:t>
      </w:r>
      <w:r>
        <w:rPr>
          <w:rFonts w:ascii="Times New Roman" w:hAnsi="Times New Roman"/>
          <w:color w:val="22577A"/>
          <w:sz w:val="17"/>
        </w:rPr>
        <w:t>https://hbepb.hebei.gov.cn/zycms/ewebeditor/uploadfile/20240815084920856.pdf</w:t>
      </w:r>
    </w:p>
    <w:p>
      <w:pPr>
        <w:ind w:left="240" w:hanging="240"/>
      </w:pPr>
      <w:r>
        <w:rPr>
          <w:sz w:val="18"/>
        </w:rPr>
        <w:t xml:space="preserve">[3] 廊坊市政府信息公开平台. 廊坊市人民政府办公室关于印发廊坊市环境空气质量达标规划的通知 - 廊坊市人民政府 无标题文档[2025-12-24]. </w:t>
      </w:r>
      <w:r>
        <w:rPr>
          <w:rFonts w:ascii="Times New Roman" w:hAnsi="Times New Roman"/>
          <w:color w:val="22577A"/>
          <w:sz w:val="17"/>
        </w:rPr>
        <w:t>https://www.lf.gov.cn/Item/152639.aspx</w:t>
      </w:r>
    </w:p>
    <w:p>
      <w:pPr>
        <w:ind w:left="240" w:hanging="240"/>
      </w:pPr>
      <w:r>
        <w:rPr>
          <w:sz w:val="18"/>
        </w:rPr>
        <w:t xml:space="preserve">[4] 生态环境部. 京津冀美丽中国先行区建设行动方案[2025-12-26]. </w:t>
      </w:r>
      <w:r>
        <w:rPr>
          <w:rFonts w:ascii="Times New Roman" w:hAnsi="Times New Roman"/>
          <w:color w:val="22577A"/>
          <w:sz w:val="17"/>
        </w:rPr>
        <w:t>https://www.mee.gov.cn/xxgk2018/xxgk/xxgk03/202512/W020251226710348629883.pdf</w:t>
      </w:r>
    </w:p>
    <w:sectPr w:rsidR="00FC693F" w:rsidRPr="0006063C" w:rsidSect="00034616">
      <w:footerReference w:type="default" r:id="rId9"/>
      <w:pgSz w:w="12240" w:h="15840"/>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B8794"/>
        <w:sz w:val="16"/>
      </w:rPr>
      <w:t>京津冀绿色转型政策数据库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