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京津冀绿色转型政策研究报告</w:t>
      </w:r>
    </w:p>
    <w:p>
      <w:pPr>
        <w:jc w:val="center"/>
      </w:pPr>
      <w:r>
        <w:rPr>
          <w:color w:val="4B5563"/>
          <w:sz w:val="22"/>
        </w:rPr>
        <w:t>区域分工 协同机制与发展趋势</w:t>
      </w:r>
    </w:p>
    <w:p>
      <w:pPr>
        <w:pStyle w:val="Heading1"/>
      </w:pPr>
      <w:r>
        <w:t>摘要</w:t>
      </w:r>
    </w:p>
    <w:p>
      <w:pPr>
        <w:jc w:val="both"/>
      </w:pPr>
      <w:r>
        <w:t>京津冀绿色转型并不是三个行政区域分别推进减排任务的简单叠加，而是能源供需、产业链、交通网络和生态环境在区域尺度上的重新组织。北京的比较优势在规则、技术、资本和应用场景，天津连接港口、工业与能源转换，河北承担重化工业深度改造、清洁能源供给和生态安全支撑。三地政策已经覆盖碳达峰、节能审查、工业绿色化、绿色建筑、绿色交通和生态治理，但跨区域协同仍主要集中于大气污染联防联控，面向碳排放、绿电消纳和产业链转型的制度连接尚不充分。未来数年，区域转型的主线将从单项技术推广转向能源系统、产业空间和基础设施协同；其成效取决于绿电供需能否匹配、重点产业能否形成低碳竞争力，以及转型成本与收益能否在三地之间合理分担。</w:t>
      </w:r>
    </w:p>
    <w:p>
      <w:pPr>
        <w:pStyle w:val="Heading1"/>
      </w:pPr>
      <w:r>
        <w:t>一  研究背景</w:t>
      </w:r>
    </w:p>
    <w:p>
      <w:pPr>
        <w:ind w:firstLine="420"/>
        <w:jc w:val="both"/>
      </w:pPr>
      <w:r>
        <w:t>京津冀是我国经济活动和人口高度集聚的城市群，也是能源消费、工业生产、交通运输与生态环境问题相互交织的典型区域。北京以服务业、科技创新和总部经济为主，天津兼具港口、工业和城市功能，河北拥有规模较大的钢铁、建材、装备制造产业以及可再生能源和生态空间。三地产业结构差异决定了减排责任、技术路径和转型成本并不相同，却又通过电力、原材料、产品、交通和人口流动紧密连接。若只在行政区内部制定和评价政策，容易出现能源生产地与消费地分离、产业转移与排放转移混同、区域基础设施重复建设等问题。</w:t>
      </w:r>
    </w:p>
    <w:p>
      <w:pPr>
        <w:ind w:firstLine="420"/>
        <w:jc w:val="both"/>
      </w:pPr>
      <w:r>
        <w:t>近年来，三地绿色转型的政策基础逐步完善。碳达峰实施方案明确了总体方向，节能审查和碳排放评价开始影响新增项目，工业、建筑、交通和公共机构形成了更具体的行动安排，《京津冀美丽中国先行区建设行动方案》则把生态环境协同提升到区域层面。由此，研究重点已经从“是否转型”转向“以何种空间分工和制度连接完成转型”。本报告重点分析三地转型角色、关键部门变化及其相互依赖关系，政策文本仅作为识别制度方向和行动重点的证据。</w:t>
      </w:r>
    </w:p>
    <w:p>
      <w:pPr>
        <w:pStyle w:val="Heading1"/>
      </w:pPr>
      <w:r>
        <w:t>二  三地形成互补而非同质的转型格局</w:t>
      </w:r>
    </w:p>
    <w:p>
      <w:pPr>
        <w:ind w:firstLine="420"/>
        <w:jc w:val="both"/>
      </w:pPr>
      <w:r>
        <w:t>京津冀内部不存在一条完全相同的转型路径。北京需要降低城市运行和消费端碳强度，并通过技术、金融和标准影响区域供给；天津需要在港口物流和工业体系中实现规模化改造；河北则必须在保证产业链稳定的同时降低重化工业排放，并扩大清洁能源供给。三者共同构成需求牵引、枢纽转换和供给重构的区域链条。</w:t>
      </w:r>
    </w:p>
    <w:tbl>
      <w:tblPr>
        <w:tblStyle w:val="TableGrid"/>
        <w:tblW w:type="auto" w:w="0"/>
        <w:tblLook w:firstColumn="1" w:firstRow="1" w:lastColumn="0" w:lastRow="0" w:noHBand="0" w:noVBand="1" w:val="04A0"/>
      </w:tblPr>
      <w:tblGrid>
        <w:gridCol w:w="2351"/>
        <w:gridCol w:w="2351"/>
        <w:gridCol w:w="2351"/>
        <w:gridCol w:w="2351"/>
      </w:tblGrid>
      <w:tr>
        <w:tc>
          <w:tcPr>
            <w:tcW w:type="dxa" w:w="1512"/>
            <w:shd w:fill="D9E7F0"/>
            <w:vAlign w:val="center"/>
          </w:tcPr>
          <w:p>
            <w:pPr>
              <w:jc w:val="center"/>
            </w:pPr>
            <w:r>
              <w:rPr>
                <w:b/>
                <w:color w:val="000000"/>
              </w:rPr>
              <w:t>地区</w:t>
            </w:r>
          </w:p>
        </w:tc>
        <w:tc>
          <w:tcPr>
            <w:tcW w:type="dxa" w:w="2376"/>
            <w:shd w:fill="D9E7F0"/>
            <w:vAlign w:val="center"/>
          </w:tcPr>
          <w:p>
            <w:pPr>
              <w:jc w:val="center"/>
            </w:pPr>
            <w:r>
              <w:rPr>
                <w:b/>
                <w:color w:val="000000"/>
              </w:rPr>
              <w:t>转型角色</w:t>
            </w:r>
          </w:p>
        </w:tc>
        <w:tc>
          <w:tcPr>
            <w:tcW w:type="dxa" w:w="3096"/>
            <w:shd w:fill="D9E7F0"/>
            <w:vAlign w:val="center"/>
          </w:tcPr>
          <w:p>
            <w:pPr>
              <w:jc w:val="center"/>
            </w:pPr>
            <w:r>
              <w:rPr>
                <w:b/>
                <w:color w:val="000000"/>
              </w:rPr>
              <w:t>主要基础</w:t>
            </w:r>
          </w:p>
        </w:tc>
        <w:tc>
          <w:tcPr>
            <w:tcW w:type="dxa" w:w="3096"/>
            <w:shd w:fill="D9E7F0"/>
            <w:vAlign w:val="center"/>
          </w:tcPr>
          <w:p>
            <w:pPr>
              <w:jc w:val="center"/>
            </w:pPr>
            <w:r>
              <w:rPr>
                <w:b/>
                <w:color w:val="000000"/>
              </w:rPr>
              <w:t>核心约束</w:t>
            </w:r>
          </w:p>
        </w:tc>
      </w:tr>
      <w:tr>
        <w:tc>
          <w:tcPr>
            <w:tcW w:type="dxa" w:w="2351"/>
            <w:vAlign w:val="center"/>
          </w:tcPr>
          <w:p>
            <w:pPr>
              <w:jc w:val="center"/>
            </w:pPr>
            <w:r>
              <w:t>北京</w:t>
            </w:r>
          </w:p>
        </w:tc>
        <w:tc>
          <w:tcPr>
            <w:tcW w:type="dxa" w:w="2351"/>
            <w:vAlign w:val="center"/>
          </w:tcPr>
          <w:p>
            <w:r>
              <w:t>需求侧规则与创新应用中心</w:t>
            </w:r>
          </w:p>
        </w:tc>
        <w:tc>
          <w:tcPr>
            <w:tcW w:type="dxa" w:w="2351"/>
            <w:vAlign w:val="center"/>
          </w:tcPr>
          <w:p>
            <w:r>
              <w:t>服务经济、科研能力、公共治理和绿色金融</w:t>
            </w:r>
          </w:p>
        </w:tc>
        <w:tc>
          <w:tcPr>
            <w:tcW w:type="dxa" w:w="2351"/>
            <w:vAlign w:val="center"/>
          </w:tcPr>
          <w:p>
            <w:r>
              <w:t>能源资源外部依赖较高，超大城市减排空间分散</w:t>
            </w:r>
          </w:p>
        </w:tc>
      </w:tr>
      <w:tr>
        <w:tc>
          <w:tcPr>
            <w:tcW w:type="dxa" w:w="2351"/>
            <w:vAlign w:val="center"/>
            <w:shd w:fill="F4F7F9"/>
          </w:tcPr>
          <w:p>
            <w:pPr>
              <w:jc w:val="center"/>
            </w:pPr>
            <w:r>
              <w:t>天津</w:t>
            </w:r>
          </w:p>
        </w:tc>
        <w:tc>
          <w:tcPr>
            <w:tcW w:type="dxa" w:w="2351"/>
            <w:vAlign w:val="center"/>
            <w:shd w:fill="F4F7F9"/>
          </w:tcPr>
          <w:p>
            <w:r>
              <w:t>港口工业与能源转换枢纽</w:t>
            </w:r>
          </w:p>
        </w:tc>
        <w:tc>
          <w:tcPr>
            <w:tcW w:type="dxa" w:w="2351"/>
            <w:vAlign w:val="center"/>
            <w:shd w:fill="F4F7F9"/>
          </w:tcPr>
          <w:p>
            <w:r>
              <w:t>港口、石化、装备制造、汽车产业和综合能源项目</w:t>
            </w:r>
          </w:p>
        </w:tc>
        <w:tc>
          <w:tcPr>
            <w:tcW w:type="dxa" w:w="2351"/>
            <w:vAlign w:val="center"/>
            <w:shd w:fill="F4F7F9"/>
          </w:tcPr>
          <w:p>
            <w:r>
              <w:t>工业与运输排放集中，存量设施更新周期较长</w:t>
            </w:r>
          </w:p>
        </w:tc>
      </w:tr>
      <w:tr>
        <w:tc>
          <w:tcPr>
            <w:tcW w:type="dxa" w:w="2351"/>
            <w:vAlign w:val="center"/>
          </w:tcPr>
          <w:p>
            <w:pPr>
              <w:jc w:val="center"/>
            </w:pPr>
            <w:r>
              <w:t>河北</w:t>
            </w:r>
          </w:p>
        </w:tc>
        <w:tc>
          <w:tcPr>
            <w:tcW w:type="dxa" w:w="2351"/>
            <w:vAlign w:val="center"/>
          </w:tcPr>
          <w:p>
            <w:r>
              <w:t>产业深度改造与清洁能源供给基地</w:t>
            </w:r>
          </w:p>
        </w:tc>
        <w:tc>
          <w:tcPr>
            <w:tcW w:type="dxa" w:w="2351"/>
            <w:vAlign w:val="center"/>
          </w:tcPr>
          <w:p>
            <w:r>
              <w:t>钢铁建材、装备制造、风光资源和生态空间</w:t>
            </w:r>
          </w:p>
        </w:tc>
        <w:tc>
          <w:tcPr>
            <w:tcW w:type="dxa" w:w="2351"/>
            <w:vAlign w:val="center"/>
          </w:tcPr>
          <w:p>
            <w:r>
              <w:t>高碳产业比重大，转型成本与就业稳定相互牵制</w:t>
            </w:r>
          </w:p>
        </w:tc>
      </w:tr>
    </w:tbl>
    <w:p>
      <w:pPr>
        <w:ind w:firstLine="420"/>
        <w:jc w:val="both"/>
      </w:pPr>
      <w:r>
        <w:t>这种分工意味着三地不能仅以本地排放变化衡量政策效果。北京增加外购绿电可能降低消费侧排放，却要求河北配置新能源和调节资源；天津提高港口清洁运输比例，需要与河北工业货源和跨省交通网络同步；河北压减落后产能若缺少技术、资本和市场支持，则可能加大地方经济与就业压力。区域转型的实质，是在共同约束下重新配置能源、产业和基础设施。</w:t>
      </w:r>
    </w:p>
    <w:p>
      <w:pPr>
        <w:pStyle w:val="Heading1"/>
      </w:pPr>
      <w:r>
        <w:t>三  能源系统正在从单向供给转向区域协同</w:t>
      </w:r>
    </w:p>
    <w:p>
      <w:pPr>
        <w:pStyle w:val="Heading2"/>
      </w:pPr>
      <w:r>
        <w:t>一  北京的能源约束决定其必须扩大区域协作</w:t>
      </w:r>
    </w:p>
    <w:p>
      <w:pPr>
        <w:ind w:firstLine="420"/>
        <w:jc w:val="both"/>
      </w:pPr>
      <w:r>
        <w:t>北京本地可再生能源资源和大规模能源生产空间有限，建筑、交通、数据中心和公共服务构成主要用能场景。节能审查、碳排放评价和新能源电价机制有助于改善新增项目的能源表现，但深度减排仍依赖外部绿电、储能、需求响应和跨区域电网。北京的核心作用是形成稳定的绿色能源需求，并以长期采购、绿色金融和碳核算规则降低供给侧项目的不确定性。</w:t>
      </w:r>
    </w:p>
    <w:p>
      <w:pPr>
        <w:pStyle w:val="Heading2"/>
      </w:pPr>
      <w:r>
        <w:t>二  天津的价值在于能源转换与综合应用</w:t>
      </w:r>
    </w:p>
    <w:p>
      <w:pPr>
        <w:ind w:firstLine="420"/>
        <w:jc w:val="both"/>
      </w:pPr>
      <w:r>
        <w:t>天津拥有港口、工业园区和大型能源基础设施，可在光伏、氢能、工业余能、储能和交通燃料替代之间形成综合应用。盐光互补和公共机构光伏体现了新能源场景扩展，港口岸电与新能源车辆则把能源转型延伸至物流系统。天津的挑战不是缺少单项技术，而是不同能源载体和行业数据尚未完全贯通，难以形成全生命周期的成本与碳效益比较。</w:t>
      </w:r>
    </w:p>
    <w:p>
      <w:pPr>
        <w:pStyle w:val="Heading2"/>
      </w:pPr>
      <w:r>
        <w:t>三  河北决定区域清洁能源供给的上限</w:t>
      </w:r>
    </w:p>
    <w:p>
      <w:pPr>
        <w:ind w:firstLine="420"/>
        <w:jc w:val="both"/>
      </w:pPr>
      <w:r>
        <w:t>河北具备发展风电、光伏和新型储能的资源与空间条件，并承担向京津输送清洁能源的重要功能。随着新能源占比提高，电网调节、消纳能力和跨省交易机制的重要性将超过单纯装机规模。若新能源基地只承担发电功能，而设备制造、运维服务、储能和绿电收益没有在当地形成产业闭环，资源优势难以转化为稳定的区域发展动力。</w:t>
      </w:r>
    </w:p>
    <w:p>
      <w:pPr>
        <w:pStyle w:val="Heading1"/>
      </w:pPr>
      <w:r>
        <w:t>四  产业转型呈现三条不同路径</w:t>
      </w:r>
    </w:p>
    <w:p>
      <w:pPr>
        <w:ind w:firstLine="420"/>
        <w:jc w:val="both"/>
      </w:pPr>
      <w:r>
        <w:t>北京、天津和河北的产业转型分别对应技术与服务赋能、存量工业系统改造和高碳基础产业重构。三条路径具有先后衔接关系：北京形成标准、技术和专业服务，天津在复杂工业与港口场景中验证规模化应用，河北则决定钢铁、建材等基础材料能否实现显著降碳。</w:t>
      </w:r>
    </w:p>
    <w:p>
      <w:r>
        <w:drawing>
          <wp:inline xmlns:a="http://schemas.openxmlformats.org/drawingml/2006/main" xmlns:pic="http://schemas.openxmlformats.org/drawingml/2006/picture">
            <wp:extent cx="4892040" cy="3538255"/>
            <wp:docPr id="1" name="Picture 1"/>
            <wp:cNvGraphicFramePr>
              <a:graphicFrameLocks noChangeAspect="1"/>
            </wp:cNvGraphicFramePr>
            <a:graphic>
              <a:graphicData uri="http://schemas.openxmlformats.org/drawingml/2006/picture">
                <pic:pic>
                  <pic:nvPicPr>
                    <pic:cNvPr id="0" name="figure_02_topic_heatmap.png"/>
                    <pic:cNvPicPr/>
                  </pic:nvPicPr>
                  <pic:blipFill>
                    <a:blip r:embed="rId10"/>
                    <a:stretch>
                      <a:fillRect/>
                    </a:stretch>
                  </pic:blipFill>
                  <pic:spPr>
                    <a:xfrm>
                      <a:off x="0" y="0"/>
                      <a:ext cx="4892040" cy="3538255"/>
                    </a:xfrm>
                    <a:prstGeom prst="rect"/>
                  </pic:spPr>
                </pic:pic>
              </a:graphicData>
            </a:graphic>
          </wp:inline>
        </w:drawing>
      </w:r>
    </w:p>
    <w:p>
      <w:pPr>
        <w:jc w:val="center"/>
      </w:pPr>
      <w:r>
        <w:rPr>
          <w:sz w:val="17"/>
        </w:rPr>
        <w:t>图1  三地政策议题结构。比例反映政策关注方向，不代表实际转型绩效。</w:t>
      </w:r>
    </w:p>
    <w:p>
      <w:pPr>
        <w:ind w:firstLine="420"/>
        <w:jc w:val="both"/>
      </w:pPr>
      <w:r>
        <w:t>政策议题结构表明，北京和天津的能源转型、综合绿色转型和碳管理工具较为多元；河北现有制度信号更集中于工业和生态环境治理。这种差异与三地经济结构相符，但也提示区域政策连接仍然不足。例如，钢铁和汽车产业链涉及河北原材料、天津制造与港口、北京研发和市场，若碳足迹规则、绿电使用和低碳材料采购彼此割裂，单个企业的改造难以转化为全链条竞争优势。</w:t>
      </w:r>
    </w:p>
    <w:p>
      <w:pPr>
        <w:pStyle w:val="Heading1"/>
      </w:pPr>
      <w:r>
        <w:t>五  城市建设与交通转型构成共同应用场景</w:t>
      </w:r>
    </w:p>
    <w:p>
      <w:pPr>
        <w:ind w:firstLine="420"/>
        <w:jc w:val="both"/>
      </w:pPr>
      <w:r>
        <w:t>建筑和交通是三地政策能够形成直接协同的领域。北京在超低能耗建筑、既有建筑改造和公共领域车辆更新方面具有较强需求，天津可以依托港口、城市更新和综合能源项目形成规模化示范，河北则提供绿色建材、新能源装备和跨城运输网络。建筑领域的关键变化，是从设计阶段的节能标准转向运行阶段的实际能耗与碳排放管理；交通领域则从乘用车电动化进一步转向港口机械、重型货运、铁路运输和充换电网络协同。</w:t>
      </w:r>
    </w:p>
    <w:p>
      <w:pPr>
        <w:ind w:firstLine="420"/>
        <w:jc w:val="both"/>
      </w:pPr>
      <w:r>
        <w:t>三地交通联系频密，使运输方式调整具有明显的区域外部性。天津港和河北工业城市之间的货运组织、北京都市圈通勤以及机场港口集疏运，都会影响新能源车辆的实际减排效果。只有当车辆、能源补给、线路组织和货源结构同步变化，绿色交通才能从设备替换转化为运输系统效率提升。</w:t>
      </w:r>
    </w:p>
    <w:p>
      <w:pPr>
        <w:pStyle w:val="Heading1"/>
      </w:pPr>
      <w:r>
        <w:t>六  生态环境协同正在向减污降碳一体化延伸</w:t>
      </w:r>
    </w:p>
    <w:p>
      <w:pPr>
        <w:ind w:firstLine="420"/>
        <w:jc w:val="both"/>
      </w:pPr>
      <w:r>
        <w:t>大气污染联防联控是京津冀最成熟的区域协同机制，为绿色转型提供了制度基础。过去的协同更多围绕污染物排放、重污染天气应对和跨界生态保护展开，未来需要进一步纳入碳排放、能源结构和产业链变化。污染物和温室气体在钢铁、燃煤、交通和工业过程等领域具有同源性，设备更新、能源替代和运输结构调整可以产生协同效益；但并非所有污染治理措施都会自动带来显著降碳，一些末端治理设施还可能增加能源消耗。因而，减污降碳协同需要从口号转化为具体项目的能源、污染物和碳排放综合评估。</w:t>
      </w:r>
    </w:p>
    <w:p>
      <w:pPr>
        <w:pStyle w:val="Heading1"/>
      </w:pPr>
      <w:r>
        <w:t>七  区域协同的核心矛盾是成本与收益分布不对称</w:t>
      </w:r>
    </w:p>
    <w:p>
      <w:pPr>
        <w:ind w:firstLine="420"/>
        <w:jc w:val="both"/>
      </w:pPr>
      <w:r>
        <w:t>京津冀转型中的许多收益具有区域共享属性，而成本集中在具体地区和企业。河北建设新能源基地、实施生态保护和改造高碳产业，需要承担资本投入与就业调整压力；北京和天津则可能通过清洁能源消费、环境改善和高附加值服务获得较多收益。类似地，港口和运输系统改造由天津承担较多基础设施成本，但减排收益分布在整条产业链。若缺少稳定的绿电交易、生态补偿、绿色采购和产业协作机制，地方政府与企业会倾向于选择短期成本更低的方案。</w:t>
      </w:r>
    </w:p>
    <w:p>
      <w:pPr>
        <w:ind w:firstLine="420"/>
        <w:jc w:val="both"/>
      </w:pPr>
      <w:r>
        <w:t>因此，评价区域转型不能停留在三地排放或政策数量的横向比较，而应识别跨区域物质流、能源流和价值流。绿电从何处生产、低碳材料由谁采购、运输减排由谁投资、生态价值如何补偿，决定了协同机制能否长期运行。区域内的共同规则应首先服务于这些具体关系，而不是追求形式上的政策一致。</w:t>
      </w:r>
    </w:p>
    <w:p>
      <w:pPr>
        <w:pStyle w:val="Heading1"/>
      </w:pPr>
      <w:r>
        <w:t>八  2027至2030年的主要趋势</w:t>
      </w:r>
    </w:p>
    <w:p>
      <w:pPr>
        <w:ind w:left="360" w:hanging="360"/>
      </w:pPr>
      <w:r>
        <w:rPr>
          <w:b/>
        </w:rPr>
        <w:t>能源转型将更重视消纳和灵活性。</w:t>
      </w:r>
      <w:r>
        <w:t>新能源装机继续增长后，电网调节、储能、需求响应和跨区交易将成为约束。北京的用能负荷、天津的综合能源场景和河北的新能源基地需要更紧密匹配。</w:t>
      </w:r>
    </w:p>
    <w:p>
      <w:pPr>
        <w:ind w:left="360" w:hanging="360"/>
      </w:pPr>
      <w:r>
        <w:rPr>
          <w:b/>
        </w:rPr>
        <w:t>工业政策将转向产品碳竞争力。</w:t>
      </w:r>
      <w:r>
        <w:t>钢铁、汽车、装备和化工企业将更多面对产品碳足迹、绿色采购和国际供应链要求。低碳产品能否获得价格、订单或融资优势，将影响企业改造意愿。</w:t>
      </w:r>
    </w:p>
    <w:p>
      <w:pPr>
        <w:ind w:left="360" w:hanging="360"/>
      </w:pPr>
      <w:r>
        <w:rPr>
          <w:b/>
        </w:rPr>
        <w:t>城市减排将从建设标准转向运行绩效。</w:t>
      </w:r>
      <w:r>
        <w:t>绿色建筑、综合能源站、充换电网络和公共机构项目将更加重视实际运行数据。设计指标与真实能耗之间的差异会成为政策评估重点。</w:t>
      </w:r>
    </w:p>
    <w:p>
      <w:pPr>
        <w:ind w:left="360" w:hanging="360"/>
      </w:pPr>
      <w:r>
        <w:rPr>
          <w:b/>
        </w:rPr>
        <w:t>区域协同将由环境治理扩展至产业与能源治理。</w:t>
      </w:r>
      <w:r>
        <w:t>跨界大气治理仍是基础，但绿电交易、绿色运输、低碳材料和产业链碳管理将成为新的协同领域。</w:t>
      </w:r>
    </w:p>
    <w:p>
      <w:pPr>
        <w:pStyle w:val="Heading1"/>
      </w:pPr>
      <w:r>
        <w:t>结论</w:t>
      </w:r>
    </w:p>
    <w:p>
      <w:pPr>
        <w:ind w:firstLine="420"/>
        <w:jc w:val="both"/>
      </w:pPr>
      <w:r>
        <w:t>京津冀绿色转型的决定性变量不是三地各自出台多少政策，而是能否把差异化优势组织成稳定的区域关系。北京需要以需求、规则和创新能力牵引低碳供给，天津需要把港口和工业场景转化为规模化技术应用，河北需要在产业深度改造和清洁能源供给中获得与其投入相匹配的长期收益。三地之间的能源、产业、交通和生态联系越能被准确计量并纳入市场与公共政策，区域转型就越可能在减排、产业竞争力和经济稳定之间形成可持续平衡。</w:t>
      </w:r>
    </w:p>
    <w:p>
      <w:pPr>
        <w:pStyle w:val="Heading2"/>
      </w:pPr>
      <w:r>
        <w:t>参考文件</w:t>
      </w:r>
    </w:p>
    <w:p>
      <w:pPr>
        <w:ind w:left="240" w:hanging="240"/>
      </w:pPr>
      <w:r>
        <w:rPr>
          <w:sz w:val="18"/>
        </w:rPr>
        <w:t xml:space="preserve">[1] 北京市人民政府. 北京市碳达峰实施方案[2022-10-14]. </w:t>
      </w:r>
      <w:r>
        <w:rPr>
          <w:rFonts w:ascii="Times New Roman" w:hAnsi="Times New Roman"/>
          <w:color w:val="22577A"/>
          <w:sz w:val="17"/>
        </w:rPr>
        <w:t>https://www.beijing.gov.cn/zhengce/zcjd/202210/t20221017_2837231.html</w:t>
      </w:r>
    </w:p>
    <w:p>
      <w:pPr>
        <w:ind w:left="240" w:hanging="240"/>
      </w:pPr>
      <w:r>
        <w:rPr>
          <w:sz w:val="18"/>
        </w:rPr>
        <w:t xml:space="preserve">[2] 北京市发展和改革委员会通知通告. 北京市发展和改革委员会关于印发《北京市固定资产投资项目节能审查和碳排放评价实施办法》的通知-本委规范性文件[2026-09-01]. </w:t>
      </w:r>
      <w:r>
        <w:rPr>
          <w:rFonts w:ascii="Times New Roman" w:hAnsi="Times New Roman"/>
          <w:color w:val="22577A"/>
          <w:sz w:val="17"/>
        </w:rPr>
        <w:t>https://fgw.beijing.gov.cn/fgwzwgk/2024zcwj/bwgfxwj/202608/t20260817_4826124.htm</w:t>
      </w:r>
    </w:p>
    <w:p>
      <w:pPr>
        <w:ind w:left="240" w:hanging="240"/>
      </w:pPr>
      <w:r>
        <w:rPr>
          <w:sz w:val="18"/>
        </w:rPr>
        <w:t xml:space="preserve">[3] 北京市经济和信息化局通知公告. 北京市经济和信息化局关于印发《北京市促进制造业和信息软件业绿色低碳发展的若干措施》的通知[2024-04-16]. </w:t>
      </w:r>
      <w:r>
        <w:rPr>
          <w:rFonts w:ascii="Times New Roman" w:hAnsi="Times New Roman"/>
          <w:color w:val="22577A"/>
          <w:sz w:val="17"/>
        </w:rPr>
        <w:t>https://jxj.beijing.gov.cn/zwgk/2024zcwj/202405/t20240530_3699988.html</w:t>
      </w:r>
    </w:p>
    <w:p>
      <w:pPr>
        <w:ind w:left="240" w:hanging="240"/>
      </w:pPr>
      <w:r>
        <w:rPr>
          <w:sz w:val="18"/>
        </w:rPr>
        <w:t xml:space="preserve">[4] 北京市发展和改革委员会通知通告. 北京市可再生能源开发利用条例-地方性法规[2025-05-01]. </w:t>
      </w:r>
      <w:r>
        <w:rPr>
          <w:rFonts w:ascii="Times New Roman" w:hAnsi="Times New Roman"/>
          <w:color w:val="22577A"/>
          <w:sz w:val="17"/>
        </w:rPr>
        <w:t>https://fgw.beijing.gov.cn/fgwzwgk/2024zcwj/flfggz/fg/dfxfg/202503/t20250328_4048144.htm</w:t>
      </w:r>
    </w:p>
    <w:p>
      <w:pPr>
        <w:ind w:left="240" w:hanging="240"/>
      </w:pPr>
      <w:r>
        <w:rPr>
          <w:sz w:val="18"/>
        </w:rPr>
        <w:t xml:space="preserve">[5] 北京市住房和城乡建设委员会. 北京市住房和城乡建设委员会 北京市规划和自然资源委员会关于印发《北京市绿色建筑标识管理办法》的通知[2025-11-27]. </w:t>
      </w:r>
      <w:r>
        <w:rPr>
          <w:rFonts w:ascii="Times New Roman" w:hAnsi="Times New Roman"/>
          <w:color w:val="22577A"/>
          <w:sz w:val="17"/>
        </w:rPr>
        <w:t>https://zjw.beijing.gov.cn/bjjs/xxgk/zcwj2024/gfxwj40/xxyx/436471607/index.shtml</w:t>
      </w:r>
    </w:p>
    <w:p>
      <w:pPr>
        <w:ind w:left="240" w:hanging="240"/>
      </w:pPr>
      <w:r>
        <w:rPr>
          <w:sz w:val="18"/>
        </w:rPr>
        <w:t xml:space="preserve">[6] 北京市西城区人民政府. 4-2关于印发《西城区促进绿色低碳高质量发展若干措施》的通知.pdf[2024-06-24]. </w:t>
      </w:r>
      <w:r>
        <w:rPr>
          <w:rFonts w:ascii="Times New Roman" w:hAnsi="Times New Roman"/>
          <w:color w:val="22577A"/>
          <w:sz w:val="17"/>
        </w:rPr>
        <w:t>https://www.bjxch.gov.cn/file/20240626/1719384845993093288.pdf</w:t>
      </w:r>
    </w:p>
    <w:p>
      <w:pPr>
        <w:ind w:left="240" w:hanging="240"/>
      </w:pPr>
      <w:r>
        <w:rPr>
          <w:sz w:val="18"/>
        </w:rPr>
        <w:t xml:space="preserve">[7] 天津市武清区人民政府. 武清区生态环境局关于转发天津市碳达峰实施方案的通知[2022-09-16]. </w:t>
      </w:r>
      <w:r>
        <w:rPr>
          <w:rFonts w:ascii="Times New Roman" w:hAnsi="Times New Roman"/>
          <w:color w:val="22577A"/>
          <w:sz w:val="17"/>
        </w:rPr>
        <w:t>https://www.tjwq.gov.cn/zwgk/zcwj/wqqzc/qsthjj/202209/t20220916_5989902.html</w:t>
      </w:r>
    </w:p>
    <w:p>
      <w:pPr>
        <w:ind w:left="240" w:hanging="240"/>
      </w:pPr>
      <w:r>
        <w:rPr>
          <w:sz w:val="18"/>
        </w:rPr>
        <w:t xml:space="preserve">[8] 天津市工业和信息化局. 市工业和信息化局 市发展改革委 市生态环境局关于印发天津市工业领域碳达峰实施方案的通知[2022-12-29]. </w:t>
      </w:r>
      <w:r>
        <w:rPr>
          <w:rFonts w:ascii="Times New Roman" w:hAnsi="Times New Roman"/>
          <w:color w:val="22577A"/>
          <w:sz w:val="17"/>
        </w:rPr>
        <w:t>https://gyxxh.tj.gov.cn/ZWGK4147/ZCWJ6355/wjwj/202212/t20221229_6064437.html</w:t>
      </w:r>
    </w:p>
    <w:p>
      <w:pPr>
        <w:ind w:left="240" w:hanging="240"/>
      </w:pPr>
      <w:r>
        <w:rPr>
          <w:sz w:val="18"/>
        </w:rPr>
        <w:t xml:space="preserve">[9] 天津市生态环境局. 市生态环境局关于印发《天津市温室气体重点排放单位核查工作指南（试行）》的通知[2026-06-26]. </w:t>
      </w:r>
      <w:r>
        <w:rPr>
          <w:rFonts w:ascii="Times New Roman" w:hAnsi="Times New Roman"/>
          <w:color w:val="22577A"/>
          <w:sz w:val="17"/>
        </w:rPr>
        <w:t>https://sthj.tj.gov.cn/ZWGK4828/ZCWJ6738/sthjjwj/202606/t20260626_7325209.html</w:t>
      </w:r>
    </w:p>
    <w:p>
      <w:pPr>
        <w:ind w:left="240" w:hanging="240"/>
      </w:pPr>
      <w:r>
        <w:rPr>
          <w:sz w:val="18"/>
        </w:rPr>
        <w:t xml:space="preserve">[10] 天津市发展和改革委员会. 市发展改革委关于印发天津市固定资产投资项目节能审查和碳排放评价实施办法的通知[2025-12-30]. </w:t>
      </w:r>
      <w:r>
        <w:rPr>
          <w:rFonts w:ascii="Times New Roman" w:hAnsi="Times New Roman"/>
          <w:color w:val="22577A"/>
          <w:sz w:val="17"/>
        </w:rPr>
        <w:t>https://fzgg.tj.gov.cn/zwgk_47325/zcfg_47338/zcwjx/fgwj/202512/t20251230_7211808.html</w:t>
      </w:r>
    </w:p>
    <w:p>
      <w:pPr>
        <w:ind w:left="240" w:hanging="240"/>
      </w:pPr>
      <w:r>
        <w:rPr>
          <w:sz w:val="18"/>
        </w:rPr>
        <w:t xml:space="preserve">[11] 天津市津南区发展和改革委员会. 天津市津南区可再生能源专项规划（2024-2030年）[2024-11-22]. </w:t>
      </w:r>
      <w:r>
        <w:rPr>
          <w:rFonts w:ascii="Times New Roman" w:hAnsi="Times New Roman"/>
          <w:color w:val="22577A"/>
          <w:sz w:val="17"/>
        </w:rPr>
        <w:t>https://www.tjjn.gov.cn/zwgk/zcwj/qjwj/qfgw100/202503/t20250313_6881964.html</w:t>
      </w:r>
    </w:p>
    <w:p>
      <w:pPr>
        <w:ind w:left="240" w:hanging="240"/>
      </w:pPr>
      <w:r>
        <w:rPr>
          <w:sz w:val="18"/>
        </w:rPr>
        <w:t xml:space="preserve">[12] 天津市生态环境局. 市生态环境局 市城市管理委 市交通运输委 市公安局关于进一步鼓励新能源建筑垃圾运输车辆推广使用的通知[2026-04-08]. </w:t>
      </w:r>
      <w:r>
        <w:rPr>
          <w:rFonts w:ascii="Times New Roman" w:hAnsi="Times New Roman"/>
          <w:color w:val="22577A"/>
          <w:sz w:val="17"/>
        </w:rPr>
        <w:t>https://sthj.tj.gov.cn/ZWGK4828/ZCWJ6738/sthjjwj/202604/t20260408_7278132.html</w:t>
      </w:r>
    </w:p>
    <w:p>
      <w:pPr>
        <w:ind w:left="240" w:hanging="240"/>
      </w:pPr>
      <w:r>
        <w:rPr>
          <w:sz w:val="18"/>
        </w:rPr>
        <w:t xml:space="preserve">[13] 河北省工业和信息化厅. 河北省工业领域碳达峰实施方案[2023-06-25]. </w:t>
      </w:r>
      <w:r>
        <w:rPr>
          <w:rFonts w:ascii="Times New Roman" w:hAnsi="Times New Roman"/>
          <w:color w:val="22577A"/>
          <w:sz w:val="17"/>
        </w:rPr>
        <w:t>https://gxt.hebei.gov.cn/sme/zc/zxzc/2025042122105668875/index.html</w:t>
      </w:r>
    </w:p>
    <w:p>
      <w:pPr>
        <w:ind w:left="240" w:hanging="240"/>
      </w:pPr>
      <w:r>
        <w:rPr>
          <w:sz w:val="18"/>
        </w:rPr>
        <w:t xml:space="preserve">[14] 河北省生态环境厅. 河北省生态环境行政处罚裁量规则（碳排放相关条款）[2024-08-15]. </w:t>
      </w:r>
      <w:r>
        <w:rPr>
          <w:rFonts w:ascii="Times New Roman" w:hAnsi="Times New Roman"/>
          <w:color w:val="22577A"/>
          <w:sz w:val="17"/>
        </w:rPr>
        <w:t>https://hbepb.hebei.gov.cn/zycms/ewebeditor/uploadfile/20240815084920856.pdf</w:t>
      </w:r>
    </w:p>
    <w:p>
      <w:pPr>
        <w:ind w:left="240" w:hanging="240"/>
      </w:pPr>
      <w:r>
        <w:rPr>
          <w:sz w:val="18"/>
        </w:rPr>
        <w:t xml:space="preserve">[15] 廊坊市政府信息公开平台. 廊坊市人民政府办公室关于印发廊坊市环境空气质量达标规划的通知 - 廊坊市人民政府 无标题文档[2025-12-24]. </w:t>
      </w:r>
      <w:r>
        <w:rPr>
          <w:rFonts w:ascii="Times New Roman" w:hAnsi="Times New Roman"/>
          <w:color w:val="22577A"/>
          <w:sz w:val="17"/>
        </w:rPr>
        <w:t>https://www.lf.gov.cn/Item/152639.aspx</w:t>
      </w:r>
    </w:p>
    <w:p>
      <w:pPr>
        <w:ind w:left="240" w:hanging="240"/>
      </w:pPr>
      <w:r>
        <w:rPr>
          <w:sz w:val="18"/>
        </w:rPr>
        <w:t xml:space="preserve">[16] 生态环境部. 京津冀美丽中国先行区建设行动方案[2025-12-26]. </w:t>
      </w:r>
      <w:r>
        <w:rPr>
          <w:rFonts w:ascii="Times New Roman" w:hAnsi="Times New Roman"/>
          <w:color w:val="22577A"/>
          <w:sz w:val="17"/>
        </w:rPr>
        <w:t>https://www.mee.gov.cn/xxgk2018/xxgk/xxgk03/202512/W020251226710348629883.pdf</w:t>
      </w:r>
    </w:p>
    <w:sectPr w:rsidR="00FC693F" w:rsidRPr="0006063C" w:rsidSect="00034616">
      <w:footerReference w:type="default" r:id="rId9"/>
      <w:pgSz w:w="12240" w:h="15840"/>
      <w:pgMar w:top="1361" w:right="1361" w:bottom="124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B8794"/>
        <w:sz w:val="16"/>
      </w:rPr>
      <w:t>京津冀绿色转型政策数据库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黑体"/>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