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b/>
          <w:color w:val="22577A"/>
          <w:sz w:val="44"/>
        </w:rPr>
        <w:t>京津冀绿色转型政策概述</w:t>
      </w:r>
    </w:p>
    <w:p>
      <w:pPr>
        <w:jc w:val="center"/>
      </w:pPr>
      <w:r>
        <w:rPr>
          <w:color w:val="52606D"/>
          <w:sz w:val="21"/>
        </w:rPr>
        <w:t>基于官方政策文本的地区观察（2023年9月—2026年9月）</w:t>
      </w:r>
    </w:p>
    <w:p>
      <w:pPr>
        <w:jc w:val="center"/>
      </w:pPr>
      <w:r>
        <w:rPr>
          <w:color w:val="52606D"/>
          <w:sz w:val="18"/>
        </w:rPr>
        <w:t>分析窗内收录 437 条；完整档案 502 条（含仍构成现行框架的基线文件）</w:t>
      </w:r>
    </w:p>
    <w:p>
      <w:pPr>
        <w:pStyle w:val="Heading1"/>
      </w:pPr>
      <w:r>
        <w:t>一、北京：由目标管理转向项目全周期约束与技术扩散</w:t>
      </w:r>
    </w:p>
    <w:p>
      <w:pPr>
        <w:ind w:firstLine="420"/>
        <w:jc w:val="both"/>
      </w:pPr>
      <w:r>
        <w:t>北京的绿色转型政策已形成“总量目标—项目准入—技术供给—场景落地”的连续链条。市级碳达峰方案提供能源、建筑、交通和产业的总框架；固定资产投资项目节能审查与碳排放评价办法把能耗和碳排放约束前移到项目决策环节，可再生能源开发利用条例及建设项目全过程监督办法进一步把开发利用责任嵌入规划、建设、验收和运行阶段。产业端的政策重心并非简单扩大新能源制造规模，而是通过绿色工厂、绿色供应链、节能技术目录、废旧动力电池回收和制造业绿色低碳支持措施，推动技术改造、资源循环与信息披露相衔接。空间上，西城以绿色低碳项目支持和公共机构示范为抓手，通州强调城市副中心工业与软件信息服务业转型，经开区突出先进制造业和园区场景，密云、丰台、东城等区则以区级碳达峰方案细化建筑、交通和生态治理任务。政策库中北京市级文件占比较高，区级文本已覆盖海淀、西城、丰台、密云、石景山、门头沟、东城、通州等区域；这说明政策工具正在向项目和基层治理单元下沉，但不同区公开目录的可检索程度不一，不能据收录量判断政策执行强弱。下一阶段，北京的关键不在于继续叠加原则性目标，而在于统一项目碳评价口径、将节能审查结果与绿色融资和政府采购衔接，并公开可比的年度实施数据，使技术示范能够转化为可核验的减排绩效。</w:t>
      </w:r>
    </w:p>
    <w:p>
      <w:pPr>
        <w:pStyle w:val="Heading2"/>
      </w:pPr>
      <w:r>
        <w:t>参考文件</w:t>
      </w:r>
    </w:p>
    <w:p>
      <w:pPr>
        <w:ind w:left="240" w:hanging="240"/>
      </w:pPr>
      <w:r>
        <w:rPr>
          <w:sz w:val="18"/>
        </w:rPr>
        <w:t xml:space="preserve">[1] 北京市人民政府. 北京市碳达峰实施方案[2022-10-14]. </w:t>
      </w:r>
      <w:r>
        <w:rPr>
          <w:rFonts w:ascii="Times New Roman" w:hAnsi="Times New Roman"/>
          <w:color w:val="22577A"/>
          <w:sz w:val="17"/>
        </w:rPr>
        <w:t>https://www.beijing.gov.cn/zhengce/zcjd/202210/t20221017_2837231.html</w:t>
      </w:r>
    </w:p>
    <w:p>
      <w:pPr>
        <w:ind w:left="240" w:hanging="240"/>
      </w:pPr>
      <w:r>
        <w:rPr>
          <w:sz w:val="18"/>
        </w:rPr>
        <w:t xml:space="preserve">[2] 北京市发展和改革委员会通知通告. 北京市发展和改革委员会关于印发《北京市固定资产投资项目节能审查和碳排放评价实施办法》的通知-本委规范性文件[2026-09-01]. </w:t>
      </w:r>
      <w:r>
        <w:rPr>
          <w:rFonts w:ascii="Times New Roman" w:hAnsi="Times New Roman"/>
          <w:color w:val="22577A"/>
          <w:sz w:val="17"/>
        </w:rPr>
        <w:t>https://fgw.beijing.gov.cn/fgwzwgk/2024zcwj/bwgfxwj/202608/t20260817_4826124.htm</w:t>
      </w:r>
    </w:p>
    <w:p>
      <w:pPr>
        <w:ind w:left="240" w:hanging="240"/>
      </w:pPr>
      <w:r>
        <w:rPr>
          <w:sz w:val="18"/>
        </w:rPr>
        <w:t xml:space="preserve">[3] 北京市经济和信息化局通知公告. 北京市经济和信息化局关于印发《北京市促进制造业和信息软件业绿色低碳发展的若干措施》的通知[2024-04-16]. </w:t>
      </w:r>
      <w:r>
        <w:rPr>
          <w:rFonts w:ascii="Times New Roman" w:hAnsi="Times New Roman"/>
          <w:color w:val="22577A"/>
          <w:sz w:val="17"/>
        </w:rPr>
        <w:t>https://jxj.beijing.gov.cn/zwgk/2024zcwj/202405/t20240530_3699988.html</w:t>
      </w:r>
    </w:p>
    <w:p>
      <w:pPr>
        <w:ind w:left="240" w:hanging="240"/>
      </w:pPr>
      <w:r>
        <w:rPr>
          <w:sz w:val="18"/>
        </w:rPr>
        <w:t xml:space="preserve">[4] 北京市发展和改革委员会通知通告. 北京市可再生能源开发利用条例-地方性法规[2025-05-01]. </w:t>
      </w:r>
      <w:r>
        <w:rPr>
          <w:rFonts w:ascii="Times New Roman" w:hAnsi="Times New Roman"/>
          <w:color w:val="22577A"/>
          <w:sz w:val="17"/>
        </w:rPr>
        <w:t>https://fgw.beijing.gov.cn/fgwzwgk/2024zcwj/flfggz/fg/dfxfg/202503/t20250328_4048144.htm</w:t>
      </w:r>
    </w:p>
    <w:p>
      <w:pPr>
        <w:ind w:left="240" w:hanging="240"/>
      </w:pPr>
      <w:r>
        <w:rPr>
          <w:sz w:val="18"/>
        </w:rPr>
        <w:t xml:space="preserve">[5] 北京市住房和城乡建设委员会. 北京市住房和城乡建设委员会 北京市规划和自然资源委员会关于印发《北京市绿色建筑标识管理办法》的通知[2025-11-27]. </w:t>
      </w:r>
      <w:r>
        <w:rPr>
          <w:rFonts w:ascii="Times New Roman" w:hAnsi="Times New Roman"/>
          <w:color w:val="22577A"/>
          <w:sz w:val="17"/>
        </w:rPr>
        <w:t>https://zjw.beijing.gov.cn/bjjs/xxgk/zcwj2024/gfxwj40/xxyx/436471607/index.shtml</w:t>
      </w:r>
    </w:p>
    <w:p>
      <w:pPr>
        <w:ind w:left="240" w:hanging="240"/>
      </w:pPr>
      <w:r>
        <w:rPr>
          <w:sz w:val="18"/>
        </w:rPr>
        <w:t xml:space="preserve">[6] 北京市西城区人民政府. 4-2关于印发《西城区促进绿色低碳高质量发展若干措施》的通知.pdf[2024-06-24]. </w:t>
      </w:r>
      <w:r>
        <w:rPr>
          <w:rFonts w:ascii="Times New Roman" w:hAnsi="Times New Roman"/>
          <w:color w:val="22577A"/>
          <w:sz w:val="17"/>
        </w:rPr>
        <w:t>https://www.bjxch.gov.cn/file/20240626/1719384845993093288.pdf</w:t>
      </w:r>
    </w:p>
    <w:p>
      <w:pPr>
        <w:pStyle w:val="Heading1"/>
      </w:pPr>
      <w:r>
        <w:t>二、天津：以工业、港口和区级实施方案构成转型主轴</w:t>
      </w:r>
    </w:p>
    <w:p>
      <w:pPr>
        <w:ind w:firstLine="420"/>
        <w:jc w:val="both"/>
      </w:pPr>
      <w:r>
        <w:t>天津的政策组合体现出典型港口工业城市的转型逻辑：一方面以市级碳达峰方案和工业领域碳达峰方案确定能源结构、工业能效与循环利用方向，另一方面通过固定资产投资项目节能审查和碳排放评价、温室气体重点排放单位核查指南等文件强化项目与企业层面的计量、核查和责任边界。能源端同时出现海上及陆上新能源项目、盐光互补、公共机构光伏、氢能与新能源汽车等政策信号；交通和城市治理端则将新能源车辆推广、港产城融合、厨余垃圾管理、非道路移动机械排放监管等纳入同一转型体系。区级政策的颗粒度是天津样本的突出特征：津南区形成可再生能源专项规划，静海、蓟州、宁河、宝坻、武清、东丽、北辰、红桥、南开、河东、河西、和平和河北区均可检索到碳达峰方案或年度生态环境行动，显示市级目标已经进入分区实施阶段。与此同时，政策文本之间仍存在指标口径、项目清单和年度进度公开程度不一致的问题；部分文件强调污染治理或单项工程，尚需明确其与碳目标之间的量化关系。建议以重点排放单位核查数据为基础，形成工业、港口、交通和建筑四类场景的年度进度表，并把区级方案中的目标、责任部门、项目和资金安排映射到同一数据框架，从而提高政策协同和实施可追踪性。</w:t>
      </w:r>
    </w:p>
    <w:p>
      <w:pPr>
        <w:pStyle w:val="Heading2"/>
      </w:pPr>
      <w:r>
        <w:t>参考文件</w:t>
      </w:r>
    </w:p>
    <w:p>
      <w:pPr>
        <w:ind w:left="240" w:hanging="240"/>
      </w:pPr>
      <w:r>
        <w:rPr>
          <w:sz w:val="18"/>
        </w:rPr>
        <w:t xml:space="preserve">[1] 天津市武清区人民政府. 武清区生态环境局关于转发天津市碳达峰实施方案的通知[2022-09-16]. </w:t>
      </w:r>
      <w:r>
        <w:rPr>
          <w:rFonts w:ascii="Times New Roman" w:hAnsi="Times New Roman"/>
          <w:color w:val="22577A"/>
          <w:sz w:val="17"/>
        </w:rPr>
        <w:t>https://www.tjwq.gov.cn/zwgk/zcwj/wqqzc/qsthjj/202209/t20220916_5989902.html</w:t>
      </w:r>
    </w:p>
    <w:p>
      <w:pPr>
        <w:ind w:left="240" w:hanging="240"/>
      </w:pPr>
      <w:r>
        <w:rPr>
          <w:sz w:val="18"/>
        </w:rPr>
        <w:t xml:space="preserve">[2] 天津市工业和信息化局. 市工业和信息化局 市发展改革委 市生态环境局关于印发天津市工业领域碳达峰实施方案的通知[2022-12-29]. </w:t>
      </w:r>
      <w:r>
        <w:rPr>
          <w:rFonts w:ascii="Times New Roman" w:hAnsi="Times New Roman"/>
          <w:color w:val="22577A"/>
          <w:sz w:val="17"/>
        </w:rPr>
        <w:t>https://gyxxh.tj.gov.cn/ZWGK4147/ZCWJ6355/wjwj/202212/t20221229_6064437.html</w:t>
      </w:r>
    </w:p>
    <w:p>
      <w:pPr>
        <w:ind w:left="240" w:hanging="240"/>
      </w:pPr>
      <w:r>
        <w:rPr>
          <w:sz w:val="18"/>
        </w:rPr>
        <w:t xml:space="preserve">[3] 天津市生态环境局. 市生态环境局关于印发《天津市温室气体重点排放单位核查工作指南（试行）》的通知[2026-06-26]. </w:t>
      </w:r>
      <w:r>
        <w:rPr>
          <w:rFonts w:ascii="Times New Roman" w:hAnsi="Times New Roman"/>
          <w:color w:val="22577A"/>
          <w:sz w:val="17"/>
        </w:rPr>
        <w:t>https://sthj.tj.gov.cn/ZWGK4828/ZCWJ6738/sthjjwj/202606/t20260626_7325209.html</w:t>
      </w:r>
    </w:p>
    <w:p>
      <w:pPr>
        <w:ind w:left="240" w:hanging="240"/>
      </w:pPr>
      <w:r>
        <w:rPr>
          <w:sz w:val="18"/>
        </w:rPr>
        <w:t xml:space="preserve">[4] 天津市发展和改革委员会. 市发展改革委关于印发天津市固定资产投资项目节能审查和碳排放评价实施办法的通知[2025-12-30]. </w:t>
      </w:r>
      <w:r>
        <w:rPr>
          <w:rFonts w:ascii="Times New Roman" w:hAnsi="Times New Roman"/>
          <w:color w:val="22577A"/>
          <w:sz w:val="17"/>
        </w:rPr>
        <w:t>https://fzgg.tj.gov.cn/zwgk_47325/zcfg_47338/zcwjx/fgwj/202512/t20251230_7211808.html</w:t>
      </w:r>
    </w:p>
    <w:p>
      <w:pPr>
        <w:ind w:left="240" w:hanging="240"/>
      </w:pPr>
      <w:r>
        <w:rPr>
          <w:sz w:val="18"/>
        </w:rPr>
        <w:t xml:space="preserve">[5] 天津市津南区发展和改革委员会. 天津市津南区可再生能源专项规划（2024-2030年）[2024-11-22]. </w:t>
      </w:r>
      <w:r>
        <w:rPr>
          <w:rFonts w:ascii="Times New Roman" w:hAnsi="Times New Roman"/>
          <w:color w:val="22577A"/>
          <w:sz w:val="17"/>
        </w:rPr>
        <w:t>https://www.tjjn.gov.cn/zwgk/zcwj/qjwj/qfgw100/202503/t20250313_6881964.html</w:t>
      </w:r>
    </w:p>
    <w:p>
      <w:pPr>
        <w:ind w:left="240" w:hanging="240"/>
      </w:pPr>
      <w:r>
        <w:rPr>
          <w:sz w:val="18"/>
        </w:rPr>
        <w:t xml:space="preserve">[6] 天津市生态环境局. 市生态环境局 市城市管理委 市交通运输委 市公安局关于进一步鼓励新能源建筑垃圾运输车辆推广使用的通知[2026-04-08]. </w:t>
      </w:r>
      <w:r>
        <w:rPr>
          <w:rFonts w:ascii="Times New Roman" w:hAnsi="Times New Roman"/>
          <w:color w:val="22577A"/>
          <w:sz w:val="17"/>
        </w:rPr>
        <w:t>https://sthj.tj.gov.cn/ZWGK4828/ZCWJ6738/sthjjwj/202604/t20260408_7278132.html</w:t>
      </w:r>
    </w:p>
    <w:p>
      <w:pPr>
        <w:pStyle w:val="Heading1"/>
      </w:pPr>
      <w:r>
        <w:t>三、河北：产业减碳、城市空气质量与区域协同需同步推进</w:t>
      </w:r>
    </w:p>
    <w:p>
      <w:pPr>
        <w:ind w:firstLine="420"/>
        <w:jc w:val="both"/>
      </w:pPr>
      <w:r>
        <w:t>河北的绿色转型具有更强的实体产业约束，钢铁、建材、化工、装备制造和能源系统既是减排重点，也是就业、投资和产业链安全的重要基础。河北省工业领域碳达峰实施方案将产业结构优化、节能降碳改造、绿色制造体系和资源综合利用置于核心位置；生态环境行政处罚裁量规则中的碳排放条款及地市监督执法清单，反映出碳排放责任正在与常态化环境监管接轨。城市层面，廊坊空气质量达标规划、石家庄生态环境治理文件、雄安新区生态环境制度以及张家口可再生能源示范基础，共同构成河北参与区域转型的不同路径。区域尺度上，《京津冀美丽中国先行区建设行动方案》要求三地在大气污染联防联控、生态保护修复、绿色交通和产业协作等方面形成跨行政区行动，这意味着河北不能仅以单个行业或城市的项目改造衡量转型，而需同时处理北京非首都功能疏解承接、清洁能源供给、重化工业改造和生态屏障建设之间的关系。当前政策库对河北的官方公开页面覆盖明显弱于京津，现有文本可用于识别政策主线和重点城市，但不足以据此比较各市执行绩效。后续应优先补齐唐山、邯郸、沧州、保定、张家口等重点城市的原始政策与年度实施文件，并建设行业—企业—项目三级台账；在政策设计上，应以单位产品碳排放、清洁能源消纳、绿色运输比例和重点工程进度等可核验指标，支撑产业升级与区域减排责任的协同评估。</w:t>
      </w:r>
    </w:p>
    <w:p>
      <w:pPr>
        <w:pStyle w:val="Heading2"/>
      </w:pPr>
      <w:r>
        <w:t>参考文件</w:t>
      </w:r>
    </w:p>
    <w:p>
      <w:pPr>
        <w:ind w:left="240" w:hanging="240"/>
      </w:pPr>
      <w:r>
        <w:rPr>
          <w:sz w:val="18"/>
        </w:rPr>
        <w:t xml:space="preserve">[1] 河北省工业和信息化厅. 河北省工业领域碳达峰实施方案[2023-06-25]. </w:t>
      </w:r>
      <w:r>
        <w:rPr>
          <w:rFonts w:ascii="Times New Roman" w:hAnsi="Times New Roman"/>
          <w:color w:val="22577A"/>
          <w:sz w:val="17"/>
        </w:rPr>
        <w:t>https://gxt.hebei.gov.cn/sme/zc/zxzc/2025042122105668875/index.html</w:t>
      </w:r>
    </w:p>
    <w:p>
      <w:pPr>
        <w:ind w:left="240" w:hanging="240"/>
      </w:pPr>
      <w:r>
        <w:rPr>
          <w:sz w:val="18"/>
        </w:rPr>
        <w:t xml:space="preserve">[2] 河北省生态环境厅. 河北省生态环境行政处罚裁量规则（碳排放相关条款）[2024-08-15]. </w:t>
      </w:r>
      <w:r>
        <w:rPr>
          <w:rFonts w:ascii="Times New Roman" w:hAnsi="Times New Roman"/>
          <w:color w:val="22577A"/>
          <w:sz w:val="17"/>
        </w:rPr>
        <w:t>https://hbepb.hebei.gov.cn/zycms/ewebeditor/uploadfile/20240815084920856.pdf</w:t>
      </w:r>
    </w:p>
    <w:p>
      <w:pPr>
        <w:ind w:left="240" w:hanging="240"/>
      </w:pPr>
      <w:r>
        <w:rPr>
          <w:sz w:val="18"/>
        </w:rPr>
        <w:t xml:space="preserve">[3] 廊坊市政府信息公开平台. 廊坊市人民政府办公室关于印发廊坊市环境空气质量达标规划的通知 - 廊坊市人民政府 无标题文档[2025-12-24]. </w:t>
      </w:r>
      <w:r>
        <w:rPr>
          <w:rFonts w:ascii="Times New Roman" w:hAnsi="Times New Roman"/>
          <w:color w:val="22577A"/>
          <w:sz w:val="17"/>
        </w:rPr>
        <w:t>https://www.lf.gov.cn/Item/152639.aspx</w:t>
      </w:r>
    </w:p>
    <w:p>
      <w:pPr>
        <w:ind w:left="240" w:hanging="240"/>
      </w:pPr>
      <w:r>
        <w:rPr>
          <w:sz w:val="18"/>
        </w:rPr>
        <w:t xml:space="preserve">[4] 生态环境部. 京津冀美丽中国先行区建设行动方案[2025-12-26]. </w:t>
      </w:r>
      <w:r>
        <w:rPr>
          <w:rFonts w:ascii="Times New Roman" w:hAnsi="Times New Roman"/>
          <w:color w:val="22577A"/>
          <w:sz w:val="17"/>
        </w:rPr>
        <w:t>https://www.mee.gov.cn/xxgk2018/xxgk/xxgk03/202512/W020251226710348629883.pdf</w:t>
      </w:r>
    </w:p>
    <w:sectPr w:rsidR="00FC693F" w:rsidRPr="0006063C" w:rsidSect="00034616">
      <w:footerReference w:type="default" r:id="rId9"/>
      <w:pgSz w:w="12240" w:h="15840"/>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6"/>
      </w:rPr>
      <w:t>京津冀绿色转型政策数据库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2257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5260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b/>
      <w:color w:val="22577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