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科产融合案例库阿里云部署教程</w:t>
      </w:r>
    </w:p>
    <w:p>
      <w:pPr>
        <w:pStyle w:val="Subtitle"/>
      </w:pPr>
      <w:r>
        <w:t>静态网站与独立域名  |  操作说明  |  2026年10月11日</w:t>
      </w:r>
    </w:p>
    <w:p>
      <w:pPr>
        <w:pStyle w:val="Heading1"/>
      </w:pPr>
      <w:r>
        <w:t>部署方案与准备事项</w:t>
      </w:r>
    </w:p>
    <w:p>
      <w:r>
        <w:t>现有案例库是静态前端与公开JSON数据，不必为页面浏览购买GPU或另行运行大模型。建议先采用“阿里云OSS静态托管＋自有域名”，保留GitHub Pages作为原站；原有GitHub Actions继续采编和导出。学生认证只用于申请优惠，不是部署前提。域名、存储、外网流量、证书或加速服务可能收费，购买前核对订单和续费价格，先设置账单预警。</w:t>
      </w:r>
    </w:p>
    <w:p>
      <w:pPr>
        <w:pStyle w:val="Heading1"/>
      </w:pPr>
      <w:r>
        <w:t>第一步  账号与学生验证</w:t>
      </w:r>
    </w:p>
    <w:p>
      <w:r>
        <w:t>登录自己长期使用的阿里云账号并完成实名认证。需要学生权益时，进入高校用云支持计划，点击“我是学生”下的申请入口，用同一实名的支付宝扫码并按页面授权核验。内地普通全日制专科、本科、硕士、博士在校生可按官方规则认证；具体权益以账号页面为准，不默认覆盖全部部署成本。</w:t>
      </w:r>
    </w:p>
    <w:p>
      <w:pPr>
        <w:pStyle w:val="Heading1"/>
      </w:pPr>
      <w:r>
        <w:t>第二步  注册域名并确定托管地域</w:t>
      </w:r>
    </w:p>
    <w:p>
      <w:r>
        <w:t>在阿里云域名注册页面查询拟用名称，核对注册价和续费价，完成持有人信息与域名实名认证。示例统一使用cases.example.com表示您实际购买域名下的子域名，示例不能直接作为真实访问地址。</w:t>
      </w:r>
    </w:p>
    <w:p>
      <w:r>
        <w:t>长期面向中国内地用户，优先评估内地托管及ICP备案路径；内地OSS绑定域名需要备案。备案主体、域名持有人及可用备案资源须按官方要求核对，不能认为购买域名就已完成备案。境外地域的接入与合规要求应分别核实；地域选定前测试目标用户的实际访问情况。</w:t>
      </w:r>
    </w:p>
    <w:p>
      <w:pPr>
        <w:pStyle w:val="Heading1"/>
      </w:pPr>
      <w:r>
        <w:t>第三步  创建专用OSS Bucket</w:t>
      </w:r>
    </w:p>
    <w:p>
      <w:r>
        <w:t>在控制台搜索“对象存储 OSS”，创建仅用于公开网站的Bucket，选择已确定地域、标准存储，关闭不需要的加速和额外服务。该Bucket不得混放订阅邮箱、API Key、人员原始资料、研究底稿或Git目录。只为网站公开对象授予匿名读取权限，保持匿名写入关闭；可禁止匿名列举目录。</w:t>
      </w:r>
    </w:p>
    <w:p>
      <w:r>
        <w:t>网站必须使用自定义域名。OSS默认Bucket域名访问HTML可能触发下载，不应把该地址当作最终网页链接。先完成域名与访问配置，再验收浏览器正常显示。</w:t>
      </w:r>
    </w:p>
    <w:p>
      <w:r>
        <w:br w:type="page"/>
      </w:r>
    </w:p>
    <w:p>
      <w:pPr>
        <w:pStyle w:val="Heading1"/>
      </w:pPr>
      <w:r>
        <w:t>第四步  获取可发布网站并上传</w:t>
      </w:r>
    </w:p>
    <w:p>
      <w:r>
        <w:t>进入GitHub仓库的Actions，打开最新成功的“每日更新气候文本数据平台”运行，在Artifacts下载github-pages。解压下载包，再解开其中的artifact.tar，确认最外层含index.html、app.js、styles.css和data文件夹。不要上传整个项目仓库，也不要把压缩包本身当作首页。</w:t>
      </w:r>
    </w:p>
    <w:p>
      <w:r>
        <w:t>在OSS文件管理中上传解包后的完整网站目录，保留相对路径。首次部署可人工上传；后续更新用同名覆盖，不先删除整个Bucket。只复制科产融合页面而漏掉共享脚本、样式、图标或数据，会导致筛选和对比失效，因此初次建议部署完整静态站点。</w:t>
      </w:r>
    </w:p>
    <w:p>
      <w:r>
        <w:t>在Bucket的静态网站设置中，将默认首页设为index.html，错误处理使用返回404或专门错误页，不把不存在的数据文件一律返回首页。HTML和JSON应采用短缓存或需重新验证的缓存策略；带版本号的静态资源可采用较长缓存。</w:t>
      </w:r>
    </w:p>
    <w:p>
      <w:pPr>
        <w:pStyle w:val="Heading1"/>
      </w:pPr>
      <w:r>
        <w:t>第五步  绑定域名与开启HTTPS</w:t>
      </w:r>
    </w:p>
    <w:p>
      <w:r>
        <w:t>在Bucket的域名管理中添加cases.example.com，按控制台提示完成归属验证。在域名DNS解析中添加CNAME，将主机记录cases指向控制台给出的Bucket目标地址，不手工猜测地址。内地Bucket先确认备案状态。</w:t>
      </w:r>
    </w:p>
    <w:p>
      <w:r>
        <w:t>按OSS自定义域名的证书配置要求，申请并绑定对应域名的SSL证书；如需强制HTTP跳转HTTPS，采用已配置的网关或CDN功能，并先核对费用。浏览器使用https://cases.example.com访问，确认无证书警告、混合内容或强制下载。</w:t>
      </w:r>
    </w:p>
    <w:p>
      <w:pPr>
        <w:pStyle w:val="Heading1"/>
      </w:pPr>
      <w:r>
        <w:t>第六步  设置案例库入口</w:t>
      </w:r>
    </w:p>
    <w:p>
      <w:r>
        <w:t>对外入口使用https://cases.example.com/?mode=energy#innovationCases。该参数进入能源技术模式，锚点定位到科产融合。首页仍保留原平台，便于读者进一步查阅新闻、报告与企业情报；若希望域名首页直接进入案例库，应在独立镜像中设置默认入口，不修改GitHub原站的气候模式。</w:t>
      </w:r>
    </w:p>
    <w:p>
      <w:r>
        <w:t>验收时至少测试案例关键词搜索、国家与中国省份筛选、案例详情、2—3例对比、国家与区域模式、CSV导出及手机端菜单。核对案例数与当前原站一致。两份推文中的网址需在新域名验收通过后再替换，不提前宣传尚未上线的地址。</w:t>
      </w:r>
    </w:p>
    <w:p>
      <w:r>
        <w:br w:type="page"/>
      </w:r>
    </w:p>
    <w:p>
      <w:pPr>
        <w:pStyle w:val="Heading1"/>
      </w:pPr>
      <w:r>
        <w:t>第七步  接上持续更新，而非一次性上传</w:t>
      </w:r>
    </w:p>
    <w:p>
      <w:r>
        <w:t>原站更新并不会自动同步到OSS。正式使用前应增加一个独立镜像发布任务：仅在原Pages工作流成功后，读取同一次合格github-pages产物，解包并同步到专用Bucket。不要重新调用模型或从零重采数据；这样两个站点使用同一发布快照，也不会增加每日编译次数。</w:t>
      </w:r>
    </w:p>
    <w:p>
      <w:r>
        <w:t>在RAM访问控制中建立专用部署身份，仅授予目标Bucket所需的对象写入和必要列举权限，不授予全账号管理权限。优先采用短期身份凭据；若使用AccessKey，其ID与Secret仅保存在GitHub Actions Secrets，不进入代码、本地教程、命令截图或日志。</w:t>
      </w:r>
    </w:p>
    <w:p>
      <w:r>
        <w:t>建议统一命名：ALIYUN_OSS_ACCESS_KEY_ID、ALIYUN_OSS_ACCESS_KEY_SECRET用于部署凭据；ALIYUN_OSS_BUCKET、ALIYUN_OSS_REGION、ALIYUN_SITE_URL用于仓库Variables。为镜像任务设置独立开关ALIYUN_DEPLOY_ENABLED，首次人工运行并确认成功后再启用。上述阿里云任务尚未在账号中部署，配置好地域、Bucket及域名后才可完成接入。</w:t>
      </w:r>
    </w:p>
    <w:p>
      <w:r>
        <w:t>上传时先保存旧版本，数据与脚本先上传、index.html最后上传，并在末尾写入本次快照标记；更严格的发布可采用版本化目录和入口切换。不要使用带删除参数的全目录同步覆盖不明目标。上线后检查连续两次自动任务均成功、快照标记变化且旧数据仍可检索，再视为自动镜像验收通过。</w:t>
      </w:r>
    </w:p>
    <w:p>
      <w:pPr>
        <w:pStyle w:val="Heading1"/>
      </w:pPr>
      <w:r>
        <w:t>订阅和问答需要单独验收</w:t>
      </w:r>
    </w:p>
    <w:p>
      <w:r>
        <w:t>OSS只托管静态文件，不会执行邮箱登记、SMTP发信或模型问答。现有这些功能由独立服务承担，换域名不会自动迁移，也不能保证消除其他用户的网络问题。新域名上线时应将其准确Origin加入后端允许列表；只部署案例库可先不开放无关服务。</w:t>
      </w:r>
    </w:p>
    <w:p>
      <w:r>
        <w:t>如目标用户仍无法访问现有Cloudflare接口，应在可稳定访问的阿里云服务上部署受控订阅接入或迁移后端，不能仅增加同一受限域下的别名。接入必须保持HTTPS、固定上游、请求大小和频率限制、不记录邮箱请求体；订阅名单继续存于私有服务，不放OSS。周报名单读取须与公开登记入口指向同一名单。</w:t>
      </w:r>
    </w:p>
    <w:p>
      <w:r>
        <w:t>域名与Bucket准备完成后，需要再执行一次镜像发布配置和跨用户测试。本次仅提供部署方案与操作步骤，没有代购域名、开通付费资源，也没有宣称阿里云镜像已经上线。</w:t>
      </w:r>
    </w:p>
    <w:p>
      <w:r>
        <w:br w:type="page"/>
      </w:r>
    </w:p>
    <w:p>
      <w:pPr>
        <w:pStyle w:val="Heading1"/>
      </w:pPr>
      <w:r>
        <w:t>上线检查清单</w:t>
      </w:r>
    </w:p>
    <w:p>
      <w:r>
        <w:t>□ 域名实名认证、托管地域、备案及HTTPS符合所选服务要求；预算预警与续费提醒已设置。</w:t>
      </w:r>
    </w:p>
    <w:p>
      <w:r>
        <w:t>□ 桌面、手机和微信内置浏览器均能打开科产融合入口，搜索、筛选、对比和导出可用。</w:t>
      </w:r>
    </w:p>
    <w:p>
      <w:r>
        <w:t>□ 公开Bucket仅含发布产物；源码与产物中不存在密钥、订阅列表或未获公开授权的人员资料。</w:t>
      </w:r>
    </w:p>
    <w:p>
      <w:r>
        <w:t>□ 镜像任务复用原站合格快照，连续两次自动发布通过；失败时保留上一版，具备回滚路径。</w:t>
      </w:r>
    </w:p>
    <w:p>
      <w:r>
        <w:t>□ 若启用订阅，请两位此前失败的用户重新提交；页面确认登记后，管理端人数增加，再验证周报送达。不要将测试邮箱写入Git或公共日志。</w:t>
      </w:r>
    </w:p>
    <w:p>
      <w:pPr>
        <w:pStyle w:val="Heading1"/>
      </w:pPr>
      <w:r>
        <w:t>官方参考入口</w:t>
      </w:r>
    </w:p>
    <w:p>
      <w:r>
        <w:rPr>
          <w:sz w:val="18"/>
        </w:rPr>
        <w:t>学生身份验证：</w:t>
      </w:r>
      <w:hyperlink r:id="rId11">
        <w:r>
          <w:rPr>
            <w:rFonts w:ascii="Times New Roman" w:hAnsi="Times New Roman" w:eastAsia="宋体"/>
            <w:color w:val="000000"/>
            <w:sz w:val="18"/>
            <w:u w:val="single"/>
          </w:rPr>
          <w:t>https://help.aliyun.com/zh/account/student-identity-verification</w:t>
        </w:r>
      </w:hyperlink>
    </w:p>
    <w:p>
      <w:r>
        <w:rPr>
          <w:sz w:val="18"/>
        </w:rPr>
        <w:t>高校用云支持计划：</w:t>
      </w:r>
      <w:hyperlink r:id="rId12">
        <w:r>
          <w:rPr>
            <w:rFonts w:ascii="Times New Roman" w:hAnsi="Times New Roman" w:eastAsia="宋体"/>
            <w:color w:val="000000"/>
            <w:sz w:val="18"/>
            <w:u w:val="single"/>
          </w:rPr>
          <w:t>https://university.aliyun.com/</w:t>
        </w:r>
      </w:hyperlink>
    </w:p>
    <w:p>
      <w:r>
        <w:rPr>
          <w:sz w:val="18"/>
        </w:rPr>
        <w:t>OSS静态网站托管：</w:t>
      </w:r>
      <w:hyperlink r:id="rId13">
        <w:r>
          <w:rPr>
            <w:rFonts w:ascii="Times New Roman" w:hAnsi="Times New Roman" w:eastAsia="宋体"/>
            <w:color w:val="000000"/>
            <w:sz w:val="18"/>
            <w:u w:val="single"/>
          </w:rPr>
          <w:t>https://help.aliyun.com/zh/oss/user-guide/hosting-static-websites</w:t>
        </w:r>
      </w:hyperlink>
    </w:p>
    <w:p>
      <w:r>
        <w:rPr>
          <w:sz w:val="18"/>
        </w:rPr>
        <w:t>OSS自定义域名：</w:t>
      </w:r>
      <w:hyperlink r:id="rId14">
        <w:r>
          <w:rPr>
            <w:rFonts w:ascii="Times New Roman" w:hAnsi="Times New Roman" w:eastAsia="宋体"/>
            <w:color w:val="000000"/>
            <w:sz w:val="18"/>
            <w:u w:val="single"/>
          </w:rPr>
          <w:t>https://help.aliyun.com/zh/oss/user-guide/access-buckets-via-custom-domain-names</w:t>
        </w:r>
      </w:hyperlink>
    </w:p>
    <w:p>
      <w:r>
        <w:rPr>
          <w:sz w:val="18"/>
        </w:rPr>
        <w:t>ICP备案申请概述：</w:t>
      </w:r>
      <w:hyperlink r:id="rId15">
        <w:r>
          <w:rPr>
            <w:rFonts w:ascii="Times New Roman" w:hAnsi="Times New Roman" w:eastAsia="宋体"/>
            <w:color w:val="000000"/>
            <w:sz w:val="18"/>
            <w:u w:val="single"/>
          </w:rPr>
          <w:t>https://help.aliyun.com/zh/icp-filing/basic-icp-service/user-guide/icp-filing-application-overview</w:t>
        </w:r>
      </w:hyperlink>
    </w:p>
    <w:p>
      <w:r>
        <w:t>操作入口及服务条款可能调整，执行时以本人账号控制台与上述官方文档为准。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格润  ·  全球气候与能源信息智能分析支持系统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liyun.com/zh/account/student-identity-verification" TargetMode="External"/><Relationship Id="rId12" Type="http://schemas.openxmlformats.org/officeDocument/2006/relationships/hyperlink" Target="https://university.aliyun.com/" TargetMode="External"/><Relationship Id="rId13" Type="http://schemas.openxmlformats.org/officeDocument/2006/relationships/hyperlink" Target="https://help.aliyun.com/zh/oss/user-guide/hosting-static-websites" TargetMode="External"/><Relationship Id="rId14" Type="http://schemas.openxmlformats.org/officeDocument/2006/relationships/hyperlink" Target="https://help.aliyun.com/zh/oss/user-guide/access-buckets-via-custom-domain-names" TargetMode="External"/><Relationship Id="rId15" Type="http://schemas.openxmlformats.org/officeDocument/2006/relationships/hyperlink" Target="https://help.aliyun.com/zh/icp-filing/basic-icp-service/user-guide/icp-filing-application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科产融合案例库阿里云部署教程</dc:title>
  <dc:subject>静态网站与独立域名  |  操作说明  |  2026年10月11日</dc:subject>
  <dc:creator>格润项目组</dc:creator>
  <cp:keywords/>
  <dc:description>generated by python-docx</dc:description>
  <cp:lastModifiedBy>格润项目组</cp:lastModifiedBy>
  <cp:revision>1</cp:revision>
  <dcterms:created xsi:type="dcterms:W3CDTF">2013-12-23T23:15:00Z</dcterms:created>
  <dcterms:modified xsi:type="dcterms:W3CDTF">2013-12-23T23:15:00Z</dcterms:modified>
  <cp:category/>
</cp:coreProperties>
</file>