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6"/>
        </w:rPr>
        <w:t>G</w:t>
      </w:r>
      <w:r>
        <w:rPr>
          <w:rFonts w:ascii="Arial" w:hAnsi="Arial" w:cs="Arial" w:eastAsia="Arial"/>
          <w:b w:val="true"/>
          <w:color w:val="252525"/>
          <w:sz w:val="56"/>
        </w:rPr>
        <w:t xml:space="preserve">enerative Gains </w:t>
      </w:r>
    </w:p>
    <w:p>
      <w:pPr>
        <w:spacing w:line="204" w:lineRule="auto" w:after="0" w:before="0"/>
        <w:ind w:right="0" w:left="0"/>
        <w:rPr>
          <w:rFonts w:ascii="Arial" w:hAnsi="Arial" w:cs="Arial"/>
          <w:sz w:val="56"/>
        </w:rPr>
      </w:pPr>
      <w:r/>
    </w:p>
    <w:p>
      <w:pPr>
        <w:spacing w:line="240" w:lineRule="auto" w:after="0" w:before="0"/>
        <w:ind w:right="0" w:left="0"/>
      </w:pPr>
      <w:r>
        <w:rPr>
          <w:rFonts w:ascii="Arial" w:hAnsi="Arial" w:cs="Arial" w:eastAsia="Arial"/>
          <w:color w:val="252525"/>
          <w:sz w:val="56"/>
        </w:rPr>
        <w:t>Section a</w:t>
      </w:r>
      <w:r>
        <w:rPr>
          <w:rFonts w:ascii="Arial" w:hAnsi="Arial" w:cs="Arial" w:eastAsia="Arial"/>
          <w:color w:val="252525"/>
          <w:sz w:val="56"/>
        </w:rPr>
        <w:t xml:space="preserve">bout </w:t>
      </w:r>
    </w:p>
    <w:p>
      <w:pPr>
        <w:spacing w:line="240" w:lineRule="auto" w:after="0" w:before="0"/>
        <w:ind w:right="0" w:left="0"/>
      </w:pPr>
      <w:r>
        <w:rPr>
          <w:rFonts w:ascii="Arial" w:hAnsi="Arial" w:cs="Arial" w:eastAsia="Arial"/>
          <w:color w:val="252525"/>
          <w:sz w:val="56"/>
        </w:rPr>
        <w:t>• About Generative Gains</w:t>
      </w:r>
    </w:p>
    <w:p>
      <w:pPr>
        <w:spacing w:line="204" w:lineRule="auto" w:after="0" w:before="0"/>
        <w:ind w:right="0" w:left="0"/>
        <w:rPr>
          <w:rFonts w:ascii="Arial" w:hAnsi="Arial" w:cs="Arial"/>
          <w:sz w:val="56"/>
        </w:rPr>
      </w:pPr>
      <w:r/>
    </w:p>
    <w:p>
      <w:pPr>
        <w:spacing w:line="240" w:lineRule="auto" w:after="0" w:before="0"/>
        <w:ind w:right="0" w:left="0"/>
      </w:pPr>
      <w:r>
        <w:rPr>
          <w:rFonts w:ascii="Arial" w:hAnsi="Arial" w:cs="Arial" w:eastAsia="Arial"/>
          <w:color w:val="252525"/>
          <w:sz w:val="56"/>
        </w:rPr>
        <w:t>About Us</w:t>
      </w:r>
    </w:p>
    <w:p>
      <w:pPr>
        <w:spacing w:line="204" w:lineRule="auto" w:after="0" w:before="0"/>
        <w:ind w:right="0" w:left="0"/>
        <w:rPr>
          <w:rFonts w:ascii="Arial" w:hAnsi="Arial" w:cs="Arial"/>
          <w:sz w:val="56"/>
        </w:rPr>
      </w:pPr>
      <w:r/>
    </w:p>
    <w:p>
      <w:pPr>
        <w:spacing w:line="240" w:lineRule="auto" w:after="0" w:before="0"/>
        <w:ind w:right="0" w:left="0"/>
      </w:pPr>
      <w:r>
        <w:rPr>
          <w:rFonts w:ascii="Arial" w:hAnsi="Arial" w:cs="Arial" w:eastAsia="Arial"/>
          <w:color w:val="252525"/>
          <w:sz w:val="56"/>
        </w:rPr>
        <w:t>We build Enterprise Generative Ai solutions that transform how organisations in Qatar work — faster decision making with reasoning models, safer automation, and measurable business impact. Headquartered and operated under the Qatar Financial Centre, locally in the State of Qatar, our practice combines Generative AI consulting with hands-on engineering to design, deploy and gover</w:t>
      </w:r>
      <w:r>
        <w:rPr>
          <w:rFonts w:ascii="Arial" w:hAnsi="Arial" w:cs="Arial" w:eastAsia="Arial"/>
          <w:color w:val="252525"/>
          <w:sz w:val="56"/>
        </w:rPr>
        <w:t>n cus</w:t>
      </w:r>
      <w:r>
        <w:rPr>
          <w:rFonts w:ascii="Arial" w:hAnsi="Arial" w:cs="Arial" w:eastAsia="Arial"/>
          <w:color w:val="252525"/>
          <w:sz w:val="56"/>
        </w:rPr>
        <w:t>tom LLMs, VLMs and agent orchestration tailore</w:t>
      </w:r>
      <w:r>
        <w:rPr>
          <w:rFonts w:ascii="Arial" w:hAnsi="Arial" w:cs="Arial" w:eastAsia="Arial"/>
          <w:color w:val="252525"/>
          <w:sz w:val="56"/>
        </w:rPr>
        <w:t xml:space="preserve">d </w:t>
      </w:r>
      <w:r>
        <w:rPr>
          <w:rFonts w:ascii="Arial" w:hAnsi="Arial" w:cs="Arial" w:eastAsia="Arial"/>
          <w:color w:val="252525"/>
          <w:sz w:val="56"/>
        </w:rPr>
        <w:t>t</w:t>
      </w:r>
      <w:r>
        <w:rPr>
          <w:rFonts w:ascii="Arial" w:hAnsi="Arial" w:cs="Arial" w:eastAsia="Arial"/>
          <w:color w:val="252525"/>
          <w:sz w:val="56"/>
        </w:rPr>
        <w:t>o your w</w:t>
      </w:r>
      <w:r>
        <w:rPr>
          <w:rFonts w:ascii="Arial" w:hAnsi="Arial" w:cs="Arial" w:eastAsia="Arial"/>
          <w:color w:val="252525"/>
          <w:sz w:val="56"/>
        </w:rPr>
        <w:t xml:space="preserve">orkflows. From discovery and proof-of-value to production and managed operations, we turn high-value use cases into repeatable, auditable systems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6"/>
        </w:rPr>
        <w:t>deliver real ROI.</w:t>
      </w:r>
    </w:p>
    <w:p>
      <w:pPr>
        <w:spacing w:line="204" w:lineRule="auto" w:after="0" w:before="0"/>
        <w:ind w:right="0" w:left="0"/>
        <w:rPr>
          <w:rFonts w:ascii="Arial" w:hAnsi="Arial" w:cs="Arial"/>
          <w:sz w:val="56"/>
        </w:rPr>
      </w:pPr>
      <w:r/>
    </w:p>
    <w:p>
      <w:pPr>
        <w:spacing w:line="240" w:lineRule="auto" w:after="0" w:before="0"/>
        <w:ind w:right="0" w:left="0"/>
      </w:pPr>
      <w:r>
        <w:rPr>
          <w:rFonts w:ascii="Arial" w:hAnsi="Arial" w:cs="Arial" w:eastAsia="Arial"/>
          <w:color w:val="252525"/>
          <w:sz w:val="56"/>
        </w:rPr>
        <w:t>What sets us apart is our cross-functional team and local stewardship. Our team blends solution architects, ML/VLM engineers, MLOps and DevOps specialists, data engineers, UX designers and industry domain experts — all working together under one delivery model to shorten time-to-value and mitigate risk. Because we are locally based, we pair deep technical capability with a practical understanding of regional ICT landscapes, procurement cycles, and enterprise governance expectations — enabling smooth integrations with ERP, CRM and core data platforms.</w:t>
      </w:r>
    </w:p>
    <w:p>
      <w:pPr>
        <w:spacing w:line="204" w:lineRule="auto" w:after="0" w:before="0"/>
        <w:ind w:right="0" w:left="0"/>
        <w:rPr>
          <w:rFonts w:ascii="Arial" w:hAnsi="Arial" w:cs="Arial"/>
          <w:sz w:val="56"/>
        </w:rPr>
      </w:pPr>
      <w:r/>
    </w:p>
    <w:p>
      <w:pPr>
        <w:spacing w:line="240" w:lineRule="auto" w:after="0" w:before="0"/>
        <w:ind w:right="0" w:left="0"/>
      </w:pPr>
      <w:r>
        <w:rPr>
          <w:rFonts w:ascii="Arial" w:hAnsi="Arial" w:cs="Arial" w:eastAsia="Arial"/>
          <w:color w:val="252525"/>
          <w:sz w:val="56"/>
        </w:rPr>
        <w:t>Security, privacy and data sovereignty are core to everything we build. We host and operate deployments from within the State of Qatar and provide on-premises, private-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6"/>
        </w:rPr>
        <w:t>cloud and hybrid options to meet strict data-residency and privacy policies. Typical safeguards we implement include encryption at rest and in transit, role-based access control, detailed audit trails, isolated VPC/GPU tenancy or dedicated appliances, hardened APIs, human-in-the-loop gating and continuous monitoring for model drift and anomalous behaviour. Where required, we implement on-prem solutions that keep sensitive data inside customer boundaries while enabling the benefits of multimodal LLMs and VLMs.</w:t>
      </w:r>
    </w:p>
    <w:p>
      <w:pPr>
        <w:spacing w:line="204" w:lineRule="auto" w:after="0" w:before="0"/>
        <w:ind w:right="0" w:left="0"/>
        <w:rPr>
          <w:rFonts w:ascii="Arial" w:hAnsi="Arial" w:cs="Arial"/>
          <w:sz w:val="56"/>
        </w:rPr>
      </w:pPr>
      <w:r/>
    </w:p>
    <w:p>
      <w:pPr>
        <w:spacing w:line="240" w:lineRule="auto" w:after="0" w:before="0"/>
        <w:ind w:right="0" w:left="0"/>
      </w:pPr>
      <w:r>
        <w:rPr>
          <w:rFonts w:ascii="Arial" w:hAnsi="Arial" w:cs="Arial" w:eastAsia="Arial"/>
          <w:color w:val="252525"/>
          <w:sz w:val="56"/>
        </w:rPr>
        <w:t xml:space="preserve">We partner with enterprise teams to produce measurable outcomes — reducing manual effort, accelerating knowledge discovery, and enabling safer automation across finance, legal, healthcare, manufacturing and government workflows. If you’re evaluating a pilot or planning to industrialise generative AI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6"/>
        </w:rPr>
        <w:t>while keeping your data in-country, let’s start with a short technical review and a scoped pilot that proves value fast.</w:t>
      </w:r>
    </w:p>
    <w:p>
      <w:pPr>
        <w:spacing w:line="204" w:lineRule="auto" w:after="0" w:before="0"/>
        <w:ind w:right="0" w:left="0"/>
        <w:rPr>
          <w:rFonts w:ascii="Arial" w:hAnsi="Arial" w:cs="Arial"/>
          <w:sz w:val="56"/>
        </w:rPr>
      </w:pPr>
      <w:r/>
    </w:p>
    <w:p>
      <w:pPr>
        <w:spacing w:line="240" w:lineRule="auto" w:after="0" w:before="0"/>
        <w:ind w:right="0" w:left="0"/>
      </w:pPr>
      <w:r>
        <w:rPr>
          <w:rFonts w:ascii="Arial" w:hAnsi="Arial" w:cs="Arial" w:eastAsia="Arial"/>
          <w:color w:val="252525"/>
          <w:sz w:val="56"/>
        </w:rPr>
        <w:t xml:space="preserve">Section about </w:t>
      </w:r>
    </w:p>
    <w:p>
      <w:pPr>
        <w:spacing w:line="240" w:lineRule="auto" w:after="0" w:before="0"/>
        <w:ind w:right="0" w:left="0"/>
      </w:pPr>
      <w:r>
        <w:rPr>
          <w:rFonts w:ascii="Arial" w:hAnsi="Arial" w:cs="Arial" w:eastAsia="Arial"/>
          <w:color w:val="252525"/>
          <w:sz w:val="56"/>
        </w:rPr>
        <w:t>• Case Studies / Outcomes</w:t>
      </w:r>
    </w:p>
    <w:p>
      <w:pPr>
        <w:spacing w:line="204" w:lineRule="auto" w:after="0" w:before="0"/>
        <w:ind w:right="0" w:left="0"/>
        <w:rPr>
          <w:rFonts w:ascii="Arial" w:hAnsi="Arial" w:cs="Arial"/>
          <w:sz w:val="56"/>
        </w:rPr>
      </w:pPr>
      <w:r/>
    </w:p>
    <w:p>
      <w:pPr>
        <w:spacing w:line="240" w:lineRule="auto" w:after="0" w:before="0"/>
        <w:ind w:right="0" w:left="0"/>
      </w:pPr>
      <w:r>
        <w:rPr>
          <w:rFonts w:ascii="Arial" w:hAnsi="Arial" w:cs="Arial" w:eastAsia="Arial"/>
          <w:color w:val="252525"/>
          <w:sz w:val="56"/>
        </w:rPr>
        <w:t xml:space="preserve">Section about </w:t>
      </w:r>
    </w:p>
    <w:p>
      <w:pPr>
        <w:spacing w:line="240" w:lineRule="auto" w:after="0" w:before="0"/>
        <w:ind w:right="0" w:left="0"/>
      </w:pPr>
      <w:r>
        <w:rPr>
          <w:rFonts w:ascii="Arial" w:hAnsi="Arial" w:cs="Arial" w:eastAsia="Arial"/>
          <w:color w:val="252525"/>
          <w:sz w:val="56"/>
        </w:rPr>
        <w:t xml:space="preserve">• Contact </w:t>
      </w:r>
    </w:p>
    <w:p>
      <w:pPr>
        <w:spacing w:line="204" w:lineRule="auto" w:after="0" w:before="0"/>
        <w:ind w:right="0" w:left="0"/>
        <w:rPr>
          <w:rFonts w:ascii="Arial" w:hAnsi="Arial" w:cs="Arial"/>
          <w:sz w:val="56"/>
        </w:rPr>
      </w:pPr>
      <w:r/>
    </w:p>
    <w:p>
      <w:pPr>
        <w:spacing w:line="240" w:lineRule="auto" w:after="0" w:before="0"/>
        <w:ind w:right="0" w:left="0"/>
      </w:pPr>
      <w:r>
        <w:rPr>
          <w:rFonts w:ascii="Arial" w:hAnsi="Arial" w:cs="Arial" w:eastAsia="Arial"/>
          <w:color w:val="252525"/>
          <w:sz w:val="56"/>
        </w:rPr>
        <w:t xml:space="preserve">Robin Thomas </w:t>
      </w:r>
    </w:p>
    <w:p>
      <w:pPr>
        <w:spacing w:line="204" w:lineRule="auto" w:after="0" w:before="0"/>
        <w:ind w:right="0" w:left="0"/>
        <w:rPr>
          <w:rFonts w:ascii="Arial" w:hAnsi="Arial" w:cs="Arial"/>
          <w:sz w:val="56"/>
        </w:rPr>
      </w:pPr>
      <w:r/>
    </w:p>
    <w:p>
      <w:pPr>
        <w:spacing w:line="240" w:lineRule="auto" w:after="0" w:before="0"/>
        <w:ind w:right="0" w:left="0"/>
      </w:pPr>
      <w:r>
        <w:rPr>
          <w:rFonts w:ascii="Arial" w:hAnsi="Arial" w:cs="Arial" w:eastAsia="Arial"/>
          <w:color w:val="252525"/>
          <w:sz w:val="56"/>
        </w:rPr>
        <w:t>Mobile: +974 33059048</w:t>
      </w:r>
    </w:p>
    <w:p>
      <w:pPr>
        <w:spacing w:line="204" w:lineRule="auto" w:after="0" w:before="0"/>
        <w:ind w:right="0" w:left="0"/>
        <w:rPr>
          <w:rFonts w:ascii="Arial" w:hAnsi="Arial" w:cs="Arial"/>
          <w:sz w:val="56"/>
        </w:rPr>
      </w:pPr>
      <w:r/>
    </w:p>
    <w:p>
      <w:pPr>
        <w:spacing w:line="240" w:lineRule="auto" w:after="0" w:before="0"/>
        <w:ind w:right="0" w:left="0"/>
      </w:pPr>
      <w:r>
        <w:rPr>
          <w:rFonts w:ascii="Arial" w:hAnsi="Arial" w:cs="Arial" w:eastAsia="Arial"/>
          <w:color w:val="252525"/>
          <w:sz w:val="56"/>
        </w:rPr>
        <w:t xml:space="preserve">email : robin@generativegains.com </w:t>
      </w:r>
    </w:p>
    <w:p>
      <w:pPr>
        <w:spacing w:line="204" w:lineRule="auto" w:after="0" w:before="0"/>
        <w:ind w:right="0" w:left="0"/>
        <w:rPr>
          <w:rFonts w:ascii="Arial" w:hAnsi="Arial" w:cs="Arial"/>
          <w:sz w:val="56"/>
        </w:rPr>
      </w:pPr>
      <w:r/>
    </w:p>
    <w:p>
      <w:pPr>
        <w:spacing w:line="240" w:lineRule="auto" w:after="0" w:before="0"/>
        <w:ind w:right="0" w:left="0"/>
      </w:pPr>
      <w:r>
        <w:rPr>
          <w:rFonts w:ascii="Arial" w:hAnsi="Arial" w:cs="Arial" w:eastAsia="Arial"/>
          <w:color w:val="252525"/>
          <w:sz w:val="56"/>
        </w:rPr>
        <w:t xml:space="preserve">Section about </w:t>
      </w:r>
    </w:p>
    <w:p>
      <w:pPr>
        <w:spacing w:line="240" w:lineRule="auto" w:after="0" w:before="0"/>
        <w:ind w:right="0" w:left="0"/>
      </w:pPr>
      <w:r>
        <w:rPr>
          <w:rFonts w:ascii="Arial" w:hAnsi="Arial" w:cs="Arial" w:eastAsia="Arial"/>
          <w:b w:val="true"/>
          <w:color w:val="252525"/>
          <w:sz w:val="56"/>
        </w:rPr>
        <w:t xml:space="preserve">• </w:t>
      </w:r>
      <w:r>
        <w:rPr>
          <w:rFonts w:ascii="Arial" w:hAnsi="Arial" w:cs="Arial" w:eastAsia="Arial"/>
          <w:color w:val="252525"/>
          <w:sz w:val="56"/>
        </w:rPr>
        <w:t xml:space="preserve">Blogs / Insights </w:t>
      </w:r>
    </w:p>
    <w:p>
      <w:pPr>
        <w:spacing w:line="204" w:lineRule="auto" w:after="0" w:before="0"/>
        <w:ind w:right="0" w:left="0"/>
        <w:rPr>
          <w:rFonts w:ascii="Arial" w:hAnsi="Arial" w:cs="Arial"/>
          <w:sz w:val="56"/>
        </w:rPr>
      </w:pPr>
      <w:r/>
    </w:p>
    <w:p>
      <w:pPr>
        <w:spacing w:line="204" w:lineRule="auto" w:after="0" w:before="0"/>
        <w:ind w:right="0" w:left="0"/>
        <w:rPr>
          <w:rFonts w:ascii="Arial" w:hAnsi="Arial" w:cs="Arial"/>
          <w:sz w:val="56"/>
        </w:rPr>
      </w:pPr>
      <w:r/>
    </w:p>
    <w:p>
      <w:pPr>
        <w:spacing w:line="240" w:lineRule="auto" w:after="0" w:before="0"/>
        <w:ind w:right="0" w:left="0"/>
      </w:pPr>
      <w:r>
        <w:rPr>
          <w:rFonts w:ascii="Arial" w:hAnsi="Arial" w:cs="Arial" w:eastAsia="Arial"/>
          <w:b w:val="true"/>
          <w:color w:val="252525"/>
          <w:sz w:val="56"/>
        </w:rPr>
        <w:t>Services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56"/>
        </w:rPr>
        <w:t>Generative AI Consulting</w:t>
      </w:r>
    </w:p>
    <w:p>
      <w:pPr>
        <w:spacing w:line="204" w:lineRule="auto" w:after="0" w:before="0"/>
        <w:ind w:right="0" w:left="0"/>
        <w:rPr>
          <w:rFonts w:ascii="Arial" w:hAnsi="Arial" w:cs="Arial"/>
          <w:sz w:val="56"/>
        </w:rPr>
      </w:pPr>
      <w:r/>
    </w:p>
    <w:p>
      <w:pPr>
        <w:numPr>
          <w:numId w:val="2"/>
        </w:numPr>
        <w:spacing w:line="240" w:lineRule="auto" w:after="0" w:before="0"/>
        <w:ind w:right="0" w:left="0"/>
      </w:pPr>
      <w:r>
        <w:rPr>
          <w:rFonts w:ascii="Arial" w:hAnsi="Arial" w:cs="Arial" w:eastAsia="Arial"/>
          <w:color w:val="252525"/>
          <w:sz w:val="56"/>
        </w:rPr>
        <w:t>Custom LLM &amp; VLM Development</w:t>
      </w:r>
    </w:p>
    <w:p>
      <w:pPr>
        <w:spacing w:line="204" w:lineRule="auto" w:after="0" w:before="0"/>
        <w:ind w:right="0" w:left="0"/>
        <w:rPr>
          <w:rFonts w:ascii="Arial" w:hAnsi="Arial" w:cs="Arial"/>
          <w:sz w:val="56"/>
        </w:rPr>
      </w:pPr>
      <w:r/>
    </w:p>
    <w:p>
      <w:pPr>
        <w:numPr>
          <w:numId w:val="3"/>
        </w:numPr>
        <w:spacing w:line="240" w:lineRule="auto" w:after="0" w:before="0"/>
        <w:ind w:right="0" w:left="0"/>
      </w:pPr>
      <w:r>
        <w:rPr>
          <w:rFonts w:ascii="Arial" w:hAnsi="Arial" w:cs="Arial" w:eastAsia="Arial"/>
          <w:color w:val="252525"/>
          <w:sz w:val="56"/>
        </w:rPr>
        <w:t>Agent Design &amp; Orchestration</w:t>
      </w:r>
    </w:p>
    <w:p>
      <w:pPr>
        <w:spacing w:line="204" w:lineRule="auto" w:after="0" w:before="0"/>
        <w:ind w:right="0" w:left="0"/>
        <w:rPr>
          <w:rFonts w:ascii="Arial" w:hAnsi="Arial" w:cs="Arial"/>
          <w:sz w:val="56"/>
        </w:rPr>
      </w:pPr>
      <w:r/>
    </w:p>
    <w:p>
      <w:pPr>
        <w:numPr>
          <w:numId w:val="4"/>
        </w:numPr>
        <w:spacing w:line="240" w:lineRule="auto" w:after="0" w:before="0"/>
        <w:ind w:right="0" w:left="0"/>
      </w:pPr>
      <w:r>
        <w:rPr>
          <w:rFonts w:ascii="Arial" w:hAnsi="Arial" w:cs="Arial" w:eastAsia="Arial"/>
          <w:color w:val="252525"/>
          <w:sz w:val="56"/>
        </w:rPr>
        <w:t>ICT Systems Integration &amp; Data Engineering</w:t>
      </w:r>
    </w:p>
    <w:p>
      <w:pPr>
        <w:spacing w:line="204" w:lineRule="auto" w:after="0" w:before="0"/>
        <w:ind w:right="0" w:left="0"/>
        <w:rPr>
          <w:rFonts w:ascii="Arial" w:hAnsi="Arial" w:cs="Arial"/>
          <w:sz w:val="56"/>
        </w:rPr>
      </w:pPr>
      <w:r/>
    </w:p>
    <w:p>
      <w:pPr>
        <w:numPr>
          <w:numId w:val="5"/>
        </w:numPr>
        <w:spacing w:line="240" w:lineRule="auto" w:after="0" w:before="0"/>
        <w:ind w:right="0" w:left="0"/>
      </w:pPr>
      <w:r>
        <w:rPr>
          <w:rFonts w:ascii="Arial" w:hAnsi="Arial" w:cs="Arial" w:eastAsia="Arial"/>
          <w:color w:val="252525"/>
          <w:sz w:val="56"/>
        </w:rPr>
        <w:t>End-to-end Project Management &amp; Managed Services</w:t>
      </w:r>
    </w:p>
    <w:p>
      <w:pPr>
        <w:spacing w:line="204" w:lineRule="auto" w:after="0" w:before="0"/>
        <w:ind w:right="0" w:left="0"/>
        <w:rPr>
          <w:rFonts w:ascii="Arial" w:hAnsi="Arial" w:cs="Arial"/>
          <w:sz w:val="56"/>
        </w:rPr>
      </w:pPr>
      <w:r/>
    </w:p>
    <w:p>
      <w:pPr>
        <w:spacing w:line="204" w:lineRule="auto" w:after="0" w:before="0"/>
        <w:ind w:right="0" w:left="0"/>
        <w:rPr>
          <w:rFonts w:ascii="Arial" w:hAnsi="Arial" w:cs="Arial"/>
          <w:sz w:val="56"/>
        </w:rPr>
      </w:pPr>
      <w:r/>
    </w:p>
    <w:p>
      <w:pPr>
        <w:spacing w:line="240" w:lineRule="auto" w:after="0" w:before="0"/>
        <w:ind w:right="0" w:left="0"/>
      </w:pPr>
      <w:r>
        <w:rPr>
          <w:rFonts w:ascii="Arial" w:hAnsi="Arial" w:cs="Arial" w:eastAsia="Arial"/>
          <w:b w:val="true"/>
          <w:color w:val="252525"/>
          <w:sz w:val="56"/>
        </w:rPr>
        <w:t>Headline:</w:t>
      </w:r>
    </w:p>
    <w:p>
      <w:pPr>
        <w:spacing w:line="240" w:lineRule="auto" w:after="0" w:before="0"/>
        <w:ind w:right="0" w:left="0"/>
      </w:pPr>
      <w:r>
        <w:rPr>
          <w:rFonts w:ascii="Arial" w:hAnsi="Arial" w:cs="Arial" w:eastAsia="Arial"/>
          <w:color w:val="252525"/>
          <w:sz w:val="56"/>
        </w:rPr>
        <w:t>Enterprise Generative Ai Solutions — We build Custom LLMs &amp; VLMs with your Enterprise Data to automate your Workflows</w:t>
      </w:r>
    </w:p>
    <w:p>
      <w:pPr>
        <w:spacing w:line="204" w:lineRule="auto" w:after="0" w:before="0"/>
        <w:ind w:right="0" w:left="0"/>
        <w:rPr>
          <w:rFonts w:ascii="Arial" w:hAnsi="Arial" w:cs="Arial"/>
          <w:sz w:val="56"/>
        </w:rPr>
      </w:pPr>
      <w:r/>
    </w:p>
    <w:p>
      <w:pPr>
        <w:spacing w:line="240" w:lineRule="auto" w:after="0" w:before="0"/>
        <w:ind w:right="0" w:left="0"/>
      </w:pPr>
      <w:r>
        <w:rPr>
          <w:rFonts w:ascii="Arial" w:hAnsi="Arial" w:cs="Arial" w:eastAsia="Arial"/>
          <w:b w:val="true"/>
          <w:color w:val="252525"/>
          <w:sz w:val="56"/>
        </w:rPr>
        <w:t>Subhead:</w:t>
      </w:r>
      <w:r>
        <w:rPr>
          <w:rFonts w:ascii="Arial" w:hAnsi="Arial" w:cs="Arial" w:eastAsia="Arial"/>
          <w:color w:val="252525"/>
          <w:sz w:val="56"/>
        </w:rPr>
        <w:t xml:space="preserve"> We design, deploy and govern Generative Ai solutions and agent-based automation that integrate with your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6"/>
        </w:rPr>
        <w:t xml:space="preserve">Datasets and ICT stack to deliver measurable business Gains. </w:t>
      </w:r>
    </w:p>
    <w:p>
      <w:pPr>
        <w:spacing w:line="204" w:lineRule="auto" w:after="0" w:before="0"/>
        <w:ind w:right="0" w:left="0"/>
        <w:rPr>
          <w:rFonts w:ascii="Arial" w:hAnsi="Arial" w:cs="Arial"/>
          <w:sz w:val="56"/>
        </w:rPr>
      </w:pPr>
      <w:r/>
    </w:p>
    <w:p>
      <w:pPr>
        <w:spacing w:line="240" w:lineRule="auto" w:after="0" w:before="0"/>
        <w:ind w:right="0" w:left="0"/>
      </w:pPr>
      <w:r>
        <w:rPr>
          <w:rFonts w:ascii="Arial" w:hAnsi="Arial" w:cs="Arial" w:eastAsia="Arial"/>
          <w:color w:val="252525"/>
          <w:sz w:val="56"/>
        </w:rPr>
        <w:t>Request a pilot.</w:t>
      </w:r>
    </w:p>
    <w:p>
      <w:pPr>
        <w:spacing w:line="204" w:lineRule="auto" w:after="0" w:before="0"/>
        <w:ind w:right="0" w:left="0"/>
        <w:rPr>
          <w:rFonts w:ascii="Arial" w:hAnsi="Arial" w:cs="Arial"/>
          <w:sz w:val="56"/>
        </w:rPr>
      </w:pPr>
      <w:r/>
    </w:p>
    <w:p>
      <w:pPr>
        <w:spacing w:line="240" w:lineRule="auto" w:after="0" w:before="0"/>
        <w:ind w:right="0" w:left="0"/>
      </w:pPr>
      <w:r>
        <w:rPr>
          <w:rFonts w:ascii="Arial" w:hAnsi="Arial" w:cs="Arial" w:eastAsia="Arial"/>
          <w:b w:val="true"/>
          <w:color w:val="252525"/>
          <w:sz w:val="74"/>
        </w:rPr>
        <w:t>Explanations</w:t>
      </w:r>
      <w:r>
        <w:rPr>
          <w:rFonts w:ascii="Arial" w:hAnsi="Arial" w:cs="Arial" w:eastAsia="Arial"/>
          <w:color w:val="252525"/>
          <w:sz w:val="56"/>
        </w:rPr>
        <w:t xml:space="preserve"> </w:t>
      </w:r>
    </w:p>
    <w:p>
      <w:pPr>
        <w:spacing w:line="204" w:lineRule="auto" w:after="0" w:before="0"/>
        <w:ind w:right="0" w:left="0"/>
        <w:rPr>
          <w:rFonts w:ascii="Arial" w:hAnsi="Arial" w:cs="Arial"/>
          <w:sz w:val="56"/>
        </w:rPr>
      </w:pPr>
      <w:r/>
    </w:p>
    <w:p>
      <w:pPr>
        <w:numPr>
          <w:numId w:val="6"/>
        </w:numPr>
        <w:spacing w:line="240" w:lineRule="auto" w:after="0" w:before="0"/>
        <w:ind w:right="0" w:left="0"/>
      </w:pPr>
      <w:r>
        <w:rPr>
          <w:rFonts w:ascii="Arial" w:hAnsi="Arial" w:cs="Arial" w:eastAsia="Arial"/>
          <w:b w:val="true"/>
          <w:color w:val="252525"/>
          <w:sz w:val="56"/>
        </w:rPr>
        <w:t>Generative AI Consulting:</w:t>
      </w:r>
      <w:r>
        <w:rPr>
          <w:rFonts w:ascii="Arial" w:hAnsi="Arial" w:cs="Arial" w:eastAsia="Arial"/>
          <w:color w:val="252525"/>
          <w:sz w:val="56"/>
        </w:rPr>
        <w:t xml:space="preserve"> strategy, feasibility, data readiness, governance and ROI modelling.</w:t>
      </w:r>
    </w:p>
    <w:p>
      <w:pPr>
        <w:spacing w:line="204" w:lineRule="auto" w:after="0" w:before="0"/>
        <w:ind w:right="0" w:left="0"/>
        <w:rPr>
          <w:rFonts w:ascii="Arial" w:hAnsi="Arial" w:cs="Arial"/>
          <w:sz w:val="56"/>
        </w:rPr>
      </w:pPr>
      <w:r/>
    </w:p>
    <w:p>
      <w:pPr>
        <w:numPr>
          <w:numId w:val="7"/>
        </w:numPr>
        <w:spacing w:line="240" w:lineRule="auto" w:after="0" w:before="0"/>
        <w:ind w:right="0" w:left="0"/>
      </w:pPr>
      <w:r>
        <w:rPr>
          <w:rFonts w:ascii="Arial" w:hAnsi="Arial" w:cs="Arial" w:eastAsia="Arial"/>
          <w:b w:val="true"/>
          <w:color w:val="252525"/>
          <w:sz w:val="56"/>
        </w:rPr>
        <w:t>Custom LLM &amp; VLM Development:</w:t>
      </w:r>
      <w:r>
        <w:rPr>
          <w:rFonts w:ascii="Arial" w:hAnsi="Arial" w:cs="Arial" w:eastAsia="Arial"/>
          <w:color w:val="252525"/>
          <w:sz w:val="56"/>
        </w:rPr>
        <w:t xml:space="preserve"> domain tuning, multimodal data ingestion, fine-tuning, and private model hosting.</w:t>
      </w:r>
    </w:p>
    <w:p>
      <w:pPr>
        <w:spacing w:line="204" w:lineRule="auto" w:after="0" w:before="0"/>
        <w:ind w:right="0" w:left="0"/>
        <w:rPr>
          <w:rFonts w:ascii="Arial" w:hAnsi="Arial" w:cs="Arial"/>
          <w:sz w:val="56"/>
        </w:rPr>
      </w:pPr>
      <w:r/>
    </w:p>
    <w:p>
      <w:pPr>
        <w:numPr>
          <w:numId w:val="8"/>
        </w:numPr>
        <w:spacing w:line="240" w:lineRule="auto" w:after="0" w:before="0"/>
        <w:ind w:right="0" w:left="0"/>
      </w:pPr>
      <w:r>
        <w:rPr>
          <w:rFonts w:ascii="Arial" w:hAnsi="Arial" w:cs="Arial" w:eastAsia="Arial"/>
          <w:b w:val="true"/>
          <w:color w:val="252525"/>
          <w:sz w:val="56"/>
        </w:rPr>
        <w:t>Agent &amp; Orchestration Design:</w:t>
      </w:r>
      <w:r>
        <w:rPr>
          <w:rFonts w:ascii="Arial" w:hAnsi="Arial" w:cs="Arial" w:eastAsia="Arial"/>
          <w:color w:val="252525"/>
          <w:sz w:val="56"/>
        </w:rPr>
        <w:t xml:space="preserve"> multi-agent workflows, tool integrations, context handlers and safety controls.</w:t>
      </w:r>
    </w:p>
    <w:p>
      <w:pPr>
        <w:spacing w:line="204" w:lineRule="auto" w:after="0" w:before="0"/>
        <w:ind w:right="0" w:left="0"/>
        <w:rPr>
          <w:rFonts w:ascii="Arial" w:hAnsi="Arial" w:cs="Arial"/>
          <w:sz w:val="56"/>
        </w:rPr>
      </w:pPr>
      <w:r/>
    </w:p>
    <w:p>
      <w:pPr>
        <w:numPr>
          <w:numId w:val="9"/>
        </w:numPr>
        <w:spacing w:line="240" w:lineRule="auto" w:after="0" w:before="0"/>
        <w:ind w:right="0" w:left="0"/>
      </w:pPr>
      <w:r>
        <w:rPr>
          <w:rFonts w:ascii="Arial" w:hAnsi="Arial" w:cs="Arial" w:eastAsia="Arial"/>
          <w:b w:val="true"/>
          <w:color w:val="252525"/>
          <w:sz w:val="56"/>
        </w:rPr>
        <w:t>ICT Integration &amp; Data Engineering:</w:t>
      </w:r>
      <w:r>
        <w:rPr>
          <w:rFonts w:ascii="Arial" w:hAnsi="Arial" w:cs="Arial" w:eastAsia="Arial"/>
          <w:color w:val="252525"/>
          <w:sz w:val="56"/>
        </w:rPr>
        <w:t xml:space="preserve"> secure connectors to ERP/CRM/data </w:t>
      </w:r>
    </w:p>
    <w:p>
      <w:pPr>
        <w:pageBreakBefore w:val="true"/>
        <w:spacing w:line="240" w:lineRule="auto" w:after="0" w:before="0"/>
        <w:ind w:right="0" w:left="0"/>
      </w:pPr>
    </w:p>
    <w:p>
      <w:pPr>
        <w:numPr>
          <w:numId w:val="10"/>
        </w:numPr>
        <w:spacing w:line="240" w:lineRule="auto" w:after="0" w:before="0"/>
        <w:ind w:right="0" w:left="0"/>
      </w:pPr>
      <w:r>
        <w:rPr>
          <w:rFonts w:ascii="Arial" w:hAnsi="Arial" w:cs="Arial" w:eastAsia="Arial"/>
          <w:color w:val="252525"/>
          <w:sz w:val="56"/>
        </w:rPr>
        <w:t>lakes, ETL, metadata management and SSO.</w:t>
      </w:r>
    </w:p>
    <w:p>
      <w:pPr>
        <w:spacing w:line="204" w:lineRule="auto" w:after="0" w:before="0"/>
        <w:ind w:right="0" w:left="0"/>
        <w:rPr>
          <w:rFonts w:ascii="Arial" w:hAnsi="Arial" w:cs="Arial"/>
          <w:sz w:val="56"/>
        </w:rPr>
      </w:pPr>
      <w:r/>
    </w:p>
    <w:p>
      <w:pPr>
        <w:numPr>
          <w:numId w:val="11"/>
        </w:numPr>
        <w:spacing w:line="240" w:lineRule="auto" w:after="0" w:before="0"/>
        <w:ind w:right="0" w:left="0"/>
      </w:pPr>
      <w:r>
        <w:rPr>
          <w:rFonts w:ascii="Arial" w:hAnsi="Arial" w:cs="Arial" w:eastAsia="Arial"/>
          <w:b w:val="true"/>
          <w:color w:val="252525"/>
          <w:sz w:val="56"/>
        </w:rPr>
        <w:t>End-to-end Project Handling:</w:t>
      </w:r>
      <w:r>
        <w:rPr>
          <w:rFonts w:ascii="Arial" w:hAnsi="Arial" w:cs="Arial" w:eastAsia="Arial"/>
          <w:color w:val="252525"/>
          <w:sz w:val="56"/>
        </w:rPr>
        <w:t xml:space="preserve"> discovery, PoC, agile delivery, MLOps, monitoring, and ongoing managed support.</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num w:numId="1">
    <w:abstractNumId w:val="2"/>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2025-11-02T14:58:32Z</dcterms:created>
  <dc:creator>Apache POI</dc:creator>
</cp:coreProperties>
</file>