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8935jb4wy13" w:id="0"/>
      <w:bookmarkEnd w:id="0"/>
      <w:r w:rsidDel="00000000" w:rsidR="00000000" w:rsidRPr="00000000">
        <w:rPr>
          <w:b w:val="1"/>
          <w:bCs w:val="1"/>
          <w:color w:val="000000"/>
          <w:sz w:val="26"/>
          <w:szCs w:val="26"/>
          <w:u w:val="single"/>
          <w:rtl w:val="0"/>
        </w:rPr>
        <w:t xml:space="preserve">Ejercicio 7</w:t>
      </w:r>
      <w:r w:rsidDel="00000000" w:rsidR="00000000" w:rsidRPr="00000000">
        <w:rPr>
          <w:b w:val="1"/>
          <w:bCs w:val="1"/>
          <w:color w:val="000000"/>
          <w:sz w:val="26"/>
          <w:szCs w:val="26"/>
          <w:rtl w:val="0"/>
        </w:rPr>
        <w:t xml:space="preserve">: resolver un incidente de seguridad informática </w:t>
      </w:r>
    </w:p>
    <w:p w:rsidR="00000000" w:rsidDel="00000000" w:rsidP="00000000" w:rsidRDefault="00000000" w:rsidRPr="00000000" w14:paraId="00000002">
      <w:pPr>
        <w:spacing w:after="240" w:before="240" w:lineRule="auto"/>
        <w:rPr/>
      </w:pPr>
      <w:r w:rsidDel="00000000" w:rsidR="00000000" w:rsidRPr="00000000">
        <w:rPr>
          <w:rtl w:val="0"/>
        </w:rPr>
        <w:t xml:space="preserve">El caso presentado corresponde a un </w:t>
      </w:r>
      <w:r w:rsidDel="00000000" w:rsidR="00000000" w:rsidRPr="00000000">
        <w:rPr>
          <w:i w:val="1"/>
          <w:iCs w:val="1"/>
          <w:rtl w:val="0"/>
        </w:rPr>
        <w:t xml:space="preserve">ataque de phishing</w:t>
      </w:r>
      <w:r w:rsidDel="00000000" w:rsidR="00000000" w:rsidRPr="00000000">
        <w:rPr>
          <w:rtl w:val="0"/>
        </w:rPr>
        <w:t xml:space="preserve">. El phishing es una técnica de ciberdelincuencia que utiliza la ingeniería social para hacerse pasar por empresas, organismos o instituciones legítimas con el propósito de engañar a las personas y conseguir información privada, como datos personales, información bancaria, contraseñas u otros datos confidenciales.</w:t>
      </w:r>
    </w:p>
    <w:p w:rsidR="00000000" w:rsidDel="00000000" w:rsidP="00000000" w:rsidRDefault="00000000" w:rsidRPr="00000000" w14:paraId="00000003">
      <w:pPr>
        <w:spacing w:after="240" w:before="240" w:lineRule="auto"/>
        <w:rPr/>
      </w:pPr>
      <w:r w:rsidDel="00000000" w:rsidR="00000000" w:rsidRPr="00000000">
        <w:rPr>
          <w:rtl w:val="0"/>
        </w:rPr>
        <w:t xml:space="preserve">En primer lugar, es necesario tomar medidas para proteger la cuenta que podría haber sido vulnerada. Si se proporcionó la contraseña en una página web sospechosa, se debe modificar inmediatamente por una contraseña nueva y segura. Además, es conveniente finalizar las sesiones que se encuentren abiertas y cambiar la contraseña en otros servicios en los que se haya utilizado la misma.</w:t>
      </w:r>
    </w:p>
    <w:p w:rsidR="00000000" w:rsidDel="00000000" w:rsidP="00000000" w:rsidRDefault="00000000" w:rsidRPr="00000000" w14:paraId="00000004">
      <w:pPr>
        <w:spacing w:after="240" w:before="240" w:lineRule="auto"/>
        <w:rPr/>
      </w:pPr>
      <w:r w:rsidDel="00000000" w:rsidR="00000000" w:rsidRPr="00000000">
        <w:rPr>
          <w:rtl w:val="0"/>
        </w:rPr>
        <w:t xml:space="preserve">Para detectar posibles accesos no autorizados, se puede consultar el apartado de seguridad de la cuenta de Google y verificar los dispositivos que se encuentran conectados. En caso de reconocer algún dispositivo desconocido, se debe cerrar la sesión correspondiente y aplicar las medidas necesarias para garantizar la seguridad de la cuenta.</w:t>
      </w:r>
    </w:p>
    <w:p w:rsidR="00000000" w:rsidDel="00000000" w:rsidP="00000000" w:rsidRDefault="00000000" w:rsidRPr="00000000" w14:paraId="00000005">
      <w:pPr>
        <w:spacing w:after="240" w:before="240" w:lineRule="auto"/>
        <w:rPr/>
      </w:pPr>
      <w:r w:rsidDel="00000000" w:rsidR="00000000" w:rsidRPr="00000000">
        <w:rPr>
          <w:rtl w:val="0"/>
        </w:rPr>
        <w:t xml:space="preserve">Por último, para reducir el riesgo de sufrir nuevamente este tipo de ataque, es fundamental analizar con atención los correos electrónicos recibidos, principalmente el remitente, los enlaces y los archivos adjuntos. Los ciberdelincuentes suelen utilizar el nombre y la imagen de empresas o instituciones reconocidas para generar confianza. Por ello, no se deben proporcionar contraseñas ni datos personales mediante enlaces que resulten dudosos. Si existe alguna sospecha, lo más seguro es ingresar directamente al sitio web oficial de la empresa o institución, evitando utilizar el enlace incluido en el correo electrónico.</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