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El usuario acepta las condiciones al hacer clic en “Continuar”.</w:t>
      </w:r>
    </w:p>
    <w:p>
      <w:r>
        <w:rPr>
          <w:b/>
        </w:rPr>
        <w:t xml:space="preserve">製品の仕様は予告なく変更されることがあります。 </w:t>
      </w:r>
      <w:r>
        <w:t>Congratulations! You have unlocked the "Explorer" achievement 🎉.</w:t>
      </w:r>
    </w:p>
    <w:p>
      <w:r>
        <w:t>Añada 250 ml de agua y mezcle hasta obtener una masa homogénea.</w:t>
      </w:r>
    </w:p>
    <w:p>
      <w:pPr>
        <w:pStyle w:val="Heading1"/>
      </w:pPr>
      <w:r>
        <w:t>Third-party integrations require an Enterprise plan subscription.</w:t>
      </w:r>
    </w:p>
    <w:p>
      <w:r>
        <w:t>製品の仕様は予告なく変更されることがあります。</w:t>
      </w:r>
    </w:p>
    <w:p>
      <w:pPr>
        <w:pStyle w:val="Heading1"/>
      </w:pPr>
      <w:r>
        <w:t>Uptime SLA of 99.95% measured monthly, excluding scheduled maintenance.</w:t>
      </w:r>
    </w:p>
    <w:sectPr/>
  </w:body>
</w:document>
</file>