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Third-party integrations require an Enterprise plan subscription.</w:t>
      </w:r>
    </w:p>
    <w:p>
      <w:r>
        <w:t>Die maximale Zuladung beträgt 750 kg einschließlich Fahrer.</w:t>
      </w:r>
    </w:p>
    <w:p>
      <w:r>
        <w:t>Les données personnelles sont traitées conformément au RGPD.</w:t>
      </w:r>
    </w:p>
    <w:p>
      <w:r>
        <w:t>Storage temperature: −20 °C to +60 °C (−4 °F to +140 °F).</w:t>
      </w:r>
    </w:p>
    <w:p>
      <w:r>
        <w:t>The quarterly report shows a 12.5% increase in recurring revenue.</w:t>
      </w:r>
    </w:p>
    <w:p>
      <w:r>
        <w:t>La configuración se guardará automáticamente cada 5 minutos.</w:t>
      </w:r>
    </w:p>
    <w:p>
      <w:r>
        <w:t>Rinse thoroughly with lukewarm water for at least 15 minutes.</w:t>
      </w:r>
    </w:p>
    <w:sectPr/>
  </w:body>
</w:document>
</file>