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>Third-party integrations require an Enterprise plan subscription.</w:t>
      </w:r>
    </w:p>
    <w:p>
      <w:r>
        <w:t>Die maximale Zuladung beträgt 750 kg einschließlich Fahrer.</w:t>
      </w:r>
    </w:p>
    <w:p>
      <w:r>
        <w:t>Our team delivers world-class localization at scale — 24/7 support included.</w:t>
      </w:r>
    </w:p>
    <w:p>
      <w:r>
        <w:rPr>
          <w:b/>
        </w:rPr>
        <w:t xml:space="preserve">Rinse thoroughly with lukewarm water for at least 15 minutes. </w:t>
      </w:r>
      <w:r>
        <w:t>Storage temperature: −20 °C to +60 °C (−4 °F to +140 °F).</w:t>
      </w:r>
    </w:p>
    <w:p>
      <w:pPr>
        <w:pStyle w:val="Heading1"/>
      </w:pPr>
      <w:r>
        <w:t>Third-party integrations require an Enterprise plan subscription.</w:t>
      </w:r>
    </w:p>
    <w:p>
      <w:r>
        <w:t>Take 2 tablets daily with food; do not exceed 6 tablets in 24 hours.</w:t>
      </w:r>
    </w:p>
    <w:p>
      <w:r>
        <w:t>Free shipping on orders over $50 — terms apply.</w:t>
      </w:r>
    </w:p>
    <w:p>
      <w:r>
        <w:t>A load-bearing wall shall not be modified without engineering approval.</w:t>
      </w:r>
    </w:p>
    <w:p>
      <w:pPr>
        <w:pStyle w:val="Heading2"/>
      </w:pPr>
      <w:r>
        <w:t>Take 2 tablets daily with food; do not exceed 6 tablets in 24 hours.</w:t>
      </w:r>
    </w:p>
    <w:p>
      <w:r>
        <w:t>Session expired — please sign in again to continue where you left off.</w:t>
      </w:r>
    </w:p>
    <w:sectPr/>
  </w:body>
</w:document>
</file>