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API returns HTTP 429 when the rate limit of 100 req/min is exceeded.</w:t>
      </w:r>
    </w:p>
    <w:p>
      <w:r>
        <w:t>This warranty does not cover damage caused by misuse or unauthorized repair.</w:t>
      </w:r>
    </w:p>
    <w:p>
      <w:r>
        <w:t>請在使用前仔細閱讀本說明書。</w:t>
      </w:r>
    </w:p>
    <w:p>
      <w:r>
        <w:t>The API returns HTTP 429 when the rate limit of 100 req/min is exceeded.</w:t>
      </w:r>
    </w:p>
    <w:p>
      <w:r>
        <w:rPr>
          <w:b/>
        </w:rPr>
        <w:t xml:space="preserve">Rinse thoroughly with lukewarm water for at least 15 minutes. </w:t>
      </w:r>
      <w:r>
        <w:t>Our team delivers world-class localization at scale — 24/7 support included.</w:t>
      </w:r>
    </w:p>
    <w:sectPr/>
  </w:body>
</w:document>
</file>