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La configuración se guardará automáticamente cada 5 minutos.</w:t>
      </w:r>
    </w:p>
    <w:p>
      <w:pPr>
        <w:pStyle w:val="Heading1"/>
      </w:pPr>
      <w:r>
        <w:t>Warning: contents may be hot. Handle with care.</w:t>
      </w:r>
    </w:p>
    <w:p>
      <w:r>
        <w:t>Adverse reactions may include nausea, dizziness, and &lt;severe&gt; headaches.</w:t>
      </w:r>
    </w:p>
    <w:p>
      <w:pPr>
        <w:pStyle w:val="Heading2"/>
      </w:pPr>
      <w:r>
        <w:t>請在使用前仔細閱讀本說明書。</w:t>
      </w:r>
    </w:p>
    <w:p>
      <w:pPr>
        <w:pStyle w:val="Heading2"/>
      </w:pPr>
      <w:r>
        <w:t>Our team delivers world-class localization at scale — 24/7 support included.</w:t>
      </w:r>
    </w:p>
    <w:p>
      <w:pPr>
        <w:pStyle w:val="Heading2"/>
      </w:pPr>
      <w:r>
        <w:t>By signing below, the lessee acknowledges receipt of the premises.</w:t>
      </w:r>
    </w:p>
    <w:p>
      <w:r>
        <w:t>Les données personnelles sont traitées conformément au RGPD.</w:t>
      </w:r>
    </w:p>
    <w:p>
      <w:r>
        <w:t>請在使用前仔細閱讀本說明書。</w:t>
      </w:r>
    </w:p>
    <w:p>
      <w:r>
        <w:rPr>
          <w:b/>
        </w:rPr>
        <w:t xml:space="preserve">Use the &lt;b&gt;bold&lt;/b&gt; toggle to emphasize key phrases. </w:t>
      </w:r>
      <w:r>
        <w:t>Our team delivers world-class localization at scale — 24/7 support included.</w:t>
      </w:r>
    </w:p>
    <w:p>
      <w:r>
        <w:t>Warning: contents may be hot. Handle with care.</w:t>
      </w:r>
    </w:p>
    <w:p>
      <w:r>
        <w:t>El usuario acepta las condiciones al hacer clic en “Continuar”.</w:t>
      </w:r>
    </w:p>
    <w:p>
      <w:r>
        <w:t>Enter your 6-digit verification code to continue.</w:t>
      </w:r>
    </w:p>
    <w:sectPr/>
  </w:body>
</w:document>
</file>