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sz w:val="48"/>
        </w:rPr>
        <w:t>转换：共性，形式，及机制</w:t>
      </w:r>
    </w:p>
    <w:p>
      <w:pPr>
        <w:jc w:val="center"/>
      </w:pPr>
      <w:r>
        <w:rPr>
          <w:rFonts w:ascii="Times New Roman" w:hAnsi="Times New Roman" w:eastAsia="宋体"/>
          <w:sz w:val="28"/>
        </w:rPr>
        <w:t>长稿初版（扩充稿）</w:t>
      </w:r>
    </w:p>
    <w:p/>
    <w:p/>
    <w:p/>
    <w:p/>
    <w:p/>
    <w:p/>
    <w:p/>
    <w:p/>
    <w:p/>
    <w:p/>
    <w:p>
      <w:pPr>
        <w:jc w:val="center"/>
      </w:pPr>
      <w:r>
        <w:rPr>
          <w:rFonts w:eastAsia="宋体"/>
          <w:sz w:val="24"/>
        </w:rPr>
        <w:t>2026年4月16日</w:t>
      </w:r>
    </w:p>
    <w:p>
      <w:r>
        <w:br w:type="page"/>
      </w:r>
    </w:p>
    <w:p>
      <w:pPr>
        <w:pStyle w:val="Heading1"/>
      </w:pPr>
      <w:r>
        <w:t>目录</w:t>
      </w:r>
    </w:p>
    <w:p>
      <w:r>
        <w:t>说明</w:t>
      </w:r>
    </w:p>
    <w:p>
      <w:r>
        <w:t>导论  世界为什么总能换一种写法</w:t>
      </w:r>
    </w:p>
    <w:p>
      <w:r>
        <w:t>第一章  何谓共性：差异背后的不变结构</w:t>
      </w:r>
    </w:p>
    <w:p>
      <w:r>
        <w:t>第二章  形式不是外衣：能力总在形式之中</w:t>
      </w:r>
    </w:p>
    <w:p>
      <w:r>
        <w:t>第三章  机制：桥梁、接口与转换的语法</w:t>
      </w:r>
    </w:p>
    <w:p>
      <w:r>
        <w:t>第四章  石油与电：同为能量，不同命运</w:t>
      </w:r>
    </w:p>
    <w:p>
      <w:r>
        <w:t>第五章  曲线与方程：数学史上的一次伟大接通</w:t>
      </w:r>
    </w:p>
    <w:p>
      <w:r>
        <w:t>第六章  声音与乐谱：流动之物如何得以停驻</w:t>
      </w:r>
    </w:p>
    <w:p>
      <w:r>
        <w:t>第七章  语言与文字：让声音跨越时间</w:t>
      </w:r>
    </w:p>
    <w:p>
      <w:r>
        <w:t>第八章  地形与地图：模型的必要与傲慢</w:t>
      </w:r>
    </w:p>
    <w:p>
      <w:r>
        <w:t>第九章  时域与频域：把问题搬到另一个空间</w:t>
      </w:r>
    </w:p>
    <w:p>
      <w:r>
        <w:t>第十章  逻辑与电路：思想如何获得机器的身体</w:t>
      </w:r>
    </w:p>
    <w:p>
      <w:r>
        <w:t>第十一章  DNA与蛋白质：生命中的形式分工</w:t>
      </w:r>
    </w:p>
    <w:p>
      <w:r>
        <w:t>第十二章  文字与向量：人工智能时代的表征革命</w:t>
      </w:r>
    </w:p>
    <w:p>
      <w:r>
        <w:t>第十三章  人脑与电脑：可接通之处与不可接通之处</w:t>
      </w:r>
    </w:p>
    <w:p>
      <w:r>
        <w:t>第十四章  转换的代价：每一次获得都伴随着删减</w:t>
      </w:r>
    </w:p>
    <w:p>
      <w:r>
        <w:t>第十五章  不可转换之物：边界、在场与剩余</w:t>
      </w:r>
    </w:p>
    <w:p>
      <w:r>
        <w:t>结语  人类文明：不断发明新写法的历史</w:t>
      </w:r>
    </w:p>
    <w:p>
      <w:r>
        <w:t>参考文献</w:t>
      </w:r>
    </w:p>
    <w:p>
      <w:r>
        <w:br w:type="page"/>
      </w:r>
    </w:p>
    <w:p>
      <w:pPr>
        <w:pStyle w:val="Heading1"/>
      </w:pPr>
      <w:r>
        <w:t>说明</w:t>
      </w:r>
    </w:p>
    <w:p>
      <w:r>
        <w:t>本稿以“共性—形式—机制—转换的代价”为全书主线，兼具思想散文、通俗学术与方法论写作三种性质。为了便于后续继续扩写为正式出版稿，正文采用较为稳妥的写法：以章节论述为主，在涉及需要外部支撑的概念界定、历史背景与技术事实处，统一使用文内编号引注；文末附“参考文献”一节，采用近似正式出版物常用的著录方式。引文并不求穷尽，但尽量选择权威来源，尤其偏重 Stanford Encyclopedia of Philosophy、OpenAI 官方文档、NVIDIA 官方文档、Genome.gov 与 Encyclopaedia Britannica 等。</w:t>
      </w:r>
    </w:p>
    <w:p>
      <w:r>
        <w:t>本稿仍是一部“可继续扩写”的长稿初版，而不是已经完成最后轮精修的定稿。它的目标，是先把全书的总论点、主要案例、逻辑脉络与参考系统完整地建立起来，使之具备继续打磨为正式书稿的坚实基础。</w:t>
      </w:r>
    </w:p>
    <w:p>
      <w:pPr>
        <w:pStyle w:val="Heading1"/>
      </w:pPr>
      <w:r>
        <w:t>导论  世界为什么总能换一种写法</w:t>
      </w:r>
    </w:p>
    <w:p>
      <w:r>
        <w:t>在日常经验里，我们总以为世界上的事物是按“东西”来区分的。石油是一种东西，电是一种东西；曲线是一种东西，方程是一种东西；文字是一种东西，向量又是一种东西。分类似乎总该从对象本身开始：先问它是什么，再问它如何运作。这样的思路当然没有错，但它还不够。因为一旦人类文明稍稍向前走一步，就会发现另一个同样重要的问题：为什么那么多面貌迥异的东西，居然可以彼此转换？为什么有些问题在原来的形式里艰涩难解，一旦换了写法，却忽然豁然开朗？为什么某些时代性的突破，看起来像是“新发明”，其实更像是“找到了一种更强的表达方式”？</w:t>
      </w:r>
    </w:p>
    <w:p>
      <w:r>
        <w:t>这本书想讨论的，正是这样一种常被忽视、却贯穿文明史的现象：同一个内容，常常可以存在于不同形式之中；不同形式各有长短；而一旦找到稳定的转换机制，人类就能把原本困在一种形式中的对象，送入另一种更适于处理的空间，在那里获得新的能力、新的速度、新的可见性。与此同时，每一次转换都带着代价：损耗、压缩、删减、遮蔽、误读，甚至傲慢。真正成熟的文明，不只是会转换，还要知道转换会失去什么。</w:t>
      </w:r>
    </w:p>
    <w:p>
      <w:r>
        <w:t>先看最朴素的例子。石油与电，一个是可贮存的化学能载体，一个是便于输配和控制的能量形式。二者外形、脾性、基础设施全然不同，却都属于能量，因此能够彼此转换。现代工业并不是因为“电天生比石油更高级”才偏爱电，而是在大量场景中，电的形式红利更大：它更适合远距离传输，适合精细控制，适合大规模网络化调用。可是从石油到电，绝非无损。能量要经过燃烧、机械转动、发电、输配，每一步都有耗散。这里最重要的，不是我们发现了两种能源，而是我们看到了同一能量在不同形式中的分工与命运。</w:t>
      </w:r>
    </w:p>
    <w:p>
      <w:r>
        <w:t>再看数学史。古典几何依赖图形、作图和空间直观；代数依赖符号、等式和变形规则。二者原本像两个王国。笛卡尔所建立的解析几何，并不只是“画了一套坐标轴”那么简单，而是提供了一种稳定桥梁，使曲线能够被方程表达，方程又能够被曲线呈现。于是，原本属于图形直观的问题，开始获得代数运算的力量[1][2]。现代数学的很多发展，正是在这次接通之后成为可能。所谓文明跃迁，往往不是某个对象凭空出现，而是对象进入了另一种形式。</w:t>
      </w:r>
    </w:p>
    <w:p>
      <w:r>
        <w:t>人工智能也是如此。文字原本属于语言和文化的世界，人类能够读出其中的意味、上下文、弦外之音与历史回声；机器则更擅长数值与矩阵运算。所谓嵌入（embedding），正是把文字映射为向量，使语义关系在高维空间中以距离、方向、聚集等方式被近似表达[3][12]。而 GPU 与 CUDA 这样的大规模并行计算平台，则提供了与这种表征相匹配的运算基础设施[4]。于是，语义第一次在工业规模上进入可计算空间。这并不意味着机器已经“拥有了与人同样的理解”，却的确意味着，人类找到了某种将部分语言结构转化为数学处理对象的机制。</w:t>
      </w:r>
    </w:p>
    <w:p>
      <w:r>
        <w:t>若把上述例子放在一起，它们会显出某种共同句法：先有共性，再有不同形式；形式各有优长，也各有限制；然后，转换机制把这些形式接通；最后，新的空间提供新的能力，而代价则以另一种形式出现。本书将把这种句法扩展到更多领域：声音与乐谱、语言与文字、地形与地图、时域与频域、逻辑与电路、DNA 与蛋白质、文字与向量、人脑与电脑。它们并不属于同一门学科，却共享着同一种结构。</w:t>
      </w:r>
    </w:p>
    <w:p>
      <w:r>
        <w:t>这里尤其要强调，“共性”并不是表面上看起来相像。苹果和太阳都圆，并不构成我们所说的共性；曲线和方程都能刻画变量之间的关系，这才是。真正的共性不是外观上的相似，而是结构上的不变。也正因为如此，转换绝不是诗意的比附，不是“差不多”，更不是“万物皆可类比”。本书坚持的标准很简单：只有当某种较深层次的结构可以被保留，或者可以以稳定规则近似保留时，转换才成立。若无结构之同，所谓转换就只是空泛的联想。</w:t>
      </w:r>
    </w:p>
    <w:p>
      <w:r>
        <w:t>另一方面，本书也不会把“转换”写成一首凯歌。恰恰相反，本书的一条暗线，就是“转换的代价”。每一种形式都有自己的禀赋：曲线有直观性，方程有可演算性；声音有生命感，乐谱有可保存性；文字有稳定性，口语有温度；向量有可计算性，语言有开放的意义空间。转换的价值，恰恰来源于这些禀赋的差异；但正因为禀赋不同，转换几乎注定不是无损。形式之得，常以另一种形式之失为代价。认识这一点，既是思想上的节制，也是方法论上的清醒。</w:t>
      </w:r>
    </w:p>
    <w:p>
      <w:r>
        <w:t>本书之所以取名《转换：共性，形式，及机制》，并把“代价”作为贯穿全书的暗线，正是因为我不想把它写成一部泛泛的“跨学科随想”。它更像一部关于人类文明如何组织世界、如何重写世界、如何在重写中获取力量同时又冒着误读风险的方法论著作。我们谈转换，不是为了把一切都化作数字、模型和算法，而是为了理解：为什么人类总在为世界寻找新的写法；为什么一旦写法变化，世界的可见性、可算性、可传性、可控性都会随之变化；又为什么每一次写法的胜利，都会在别处留下阴影。</w:t>
      </w:r>
    </w:p>
    <w:p>
      <w:r>
        <w:t>如果一定要把本书的核心命题压缩成一句话，我愿意这样说：人类文明的一条隐秘主线，就是不断发现共性、发明形式、建立机制，并承受其代价的历史。我们当然没有因此拥有世界本身，但我们不断得到某种“更可操作的世界版本”。也正是在这些版本之间的往返、翻译、压缩、投影与修补中，文明的真正戏剧性才显现出来。</w:t>
      </w:r>
    </w:p>
    <w:p>
      <w:pPr>
        <w:pStyle w:val="Heading1"/>
      </w:pPr>
      <w:r>
        <w:t>第一章  何谓共性：差异背后的不变结构</w:t>
      </w:r>
    </w:p>
    <w:p>
      <w:r>
        <w:t>共性不是表面相似，而是较高层次上的结构不变。苹果和太阳都圆，这只是外观上的类似；曲线与方程都在描述变量关系，这才是方法论意义上的共性。共性之所以重要，不在于它听上去抽象，而在于它为后续的形式选择、机制设计与问题迁移提供前提。</w:t>
      </w:r>
    </w:p>
    <w:p>
      <w:r>
        <w:t>抽象思维的功能，正在于从纷繁差异中提取某些可重复使用的结构模板。石油与电在物态、触感和基础设施上差异极大，但在“能量”这一层具有共性；语言与文字在媒介上截然不同，却都承担意义组织与交流功能；人脑与电脑差别巨大，却在某些层面共享“信息处理系统”的抽象框架。真正的共性，常常只有当视线抬高一层时才显现。</w:t>
      </w:r>
    </w:p>
    <w:p>
      <w:r>
        <w:t>本书尤其警惕“万物皆可类比”的空泛说法。真正扎实的共性，必须带来解释力：它不仅说明两者有点像，而且说明为什么它们能被类似的方法处理，为什么某种形式转换是合理的。若只是因为都“复杂”、都“动态”就宣布它们具有共性，那不过是修辞，不是方法。</w:t>
      </w:r>
    </w:p>
    <w:p>
      <w:r>
        <w:t>因此，本书把共性理解为：在若干不同形式或对象之间，能够被稳定识别，并可在转换中尽量保留的那部分结构。没有这样的结构，共性只是高谈阔论；有了这样的结构，转换才不至于沦为盲目搬运。文明之所以能够把一个领域的方法迁移到另一个领域，正是因为它先认出了两者背后那部分较深的同。</w:t>
      </w:r>
    </w:p>
    <w:p>
      <w:pPr>
        <w:pStyle w:val="Heading1"/>
      </w:pPr>
      <w:r>
        <w:t>第二章  形式不是外衣：能力总在形式之中</w:t>
      </w:r>
    </w:p>
    <w:p>
      <w:r>
        <w:t>形式绝不是外衣。它不是把内容裹起来的包装，而是规定对象如何被感知、记录、传播、复制和运算的存在方式。音乐若只停留在声音里，它有生命感，却难以长久保存；一旦进入乐谱，它就拥有了新的社会寿命。语言若只存在于口语中，它有现场感，却不易跨时空传播；进入文字之后，才形成档案、法律、经典与制度。内容未变，能力却因形式变化而显著改变。</w:t>
      </w:r>
    </w:p>
    <w:p>
      <w:r>
        <w:t>每一种形式都带着自己的“形式红利”。电的红利在于易于网络化输配与精细控制，方程的红利在于可演算性，地图的红利在于可导航，向量的红利在于可计算相似性。这些红利并不是附带赠品，而是形式本身赋予对象的新能力。人类文明不断发明新形式，并不是出于装饰冲动，而是因为旧形式在某些任务上不再足够有效。</w:t>
      </w:r>
    </w:p>
    <w:p>
      <w:r>
        <w:t>然而，形式红利总与形式代价同行。乐谱保存结构，却删减现场气息；文字带来稳定，却让口语中的表情和声调退场；地图便于行动，却省略大量现实细节；向量便于计算，却压缩意义层次。文明的成熟不在于迷信某一种最强形式，而在于理解不同形式各擅其场，各有所得，也各有所失。</w:t>
      </w:r>
    </w:p>
    <w:p>
      <w:pPr>
        <w:pStyle w:val="Heading1"/>
      </w:pPr>
      <w:r>
        <w:t>第三章  机制：桥梁、接口与转换的语法</w:t>
      </w:r>
    </w:p>
    <w:p>
      <w:r>
        <w:t>共性说明两种对象在深处属于同一类，形式说明同一对象可以以不同方式存在，而机制则回答最关键的问题：这两种形式究竟如何接通？如果没有机制，再强的共性也可能只是彼此对望的两岸。</w:t>
      </w:r>
    </w:p>
    <w:p>
      <w:r>
        <w:t>机制意味着稳定、可重复、可扩展。笛卡尔坐标系之所以伟大，在于它不是一次性的灵感，而是一整套规则：空间位置可用数来标识，曲线可由方程表达，几何问题可进入代数运算[1][2]。记谱法也是如此，它不是随手描述声音，而是建立起一套视觉记录规则，使音乐得以转写、传授和复现[6]。书写系统、布尔代数、傅里叶变换、嵌入模型，也都属于这种意义上的“桥梁机制”。</w:t>
      </w:r>
    </w:p>
    <w:p>
      <w:r>
        <w:t>机制还意味着选择性。它总要决定哪些结构被保留，哪些细节被省略，哪些误差被接受。正因如此，机制的价值并不在于无损复制，而在于以可接受的代价，保留对当前任务最重要的那部分结构。文明史上真正改变时代的，往往不是某个对象本身，而是新的接口、新的桥梁、新的转换语法。</w:t>
      </w:r>
    </w:p>
    <w:p>
      <w:pPr>
        <w:pStyle w:val="Heading1"/>
      </w:pPr>
      <w:r>
        <w:t>第四章  石油与电：同为能量，不同命运</w:t>
      </w:r>
    </w:p>
    <w:p>
      <w:r>
        <w:t>石油与电都是能量，但它们像两种性格截然不同的生命。石油适合囤积、运输、交易，像仓库里的粮食；电适合即时输送、网络分配和精细控制，像管网中的活水。它们不是高级与低级的关系，而是不同形式在不同场景中的分工。</w:t>
      </w:r>
    </w:p>
    <w:p>
      <w:r>
        <w:t>现代工业之所以高度偏爱电，并不是因为电在本体论上更高贵，而是在许多系统中，电的形式红利更大：可以沿电网长距离传输，可以被精准调度，可以快速切换用途。石油则在储存、机动性和高能量密度上更具优势。二者都不可或缺，只是各自承担不同任务。</w:t>
      </w:r>
    </w:p>
    <w:p>
      <w:r>
        <w:t>从石油到电的每一步转换都伴随代价：燃烧有热损失，发电和输配也有损失。电虽然易于分配，却强烈依赖基础设施；石油虽然便于储运，却不如电那样便于精细控制。这组案例让我们看见，所谓转换不是“旧东西让位给新东西”，而是同一共性在不同形式中重新分工。</w:t>
      </w:r>
    </w:p>
    <w:p>
      <w:pPr>
        <w:pStyle w:val="Heading1"/>
      </w:pPr>
      <w:r>
        <w:t>第五章  曲线与方程：数学史上的一次伟大接通</w:t>
      </w:r>
    </w:p>
    <w:p>
      <w:r>
        <w:t>曲线属于眼睛，方程属于手。曲线让人看见，方程让人运算。古典几何以图形和空间直观为主，代数则依赖符号变形和一般规则。笛卡尔所带来的革命，不是简单画出一对坐标轴，而是为这两个世界建立了一条稳定桥梁：曲线可以表示为方程，几何问题可以迁移到代数空间中分析[1][2]。</w:t>
      </w:r>
    </w:p>
    <w:p>
      <w:r>
        <w:t>解析几何的深刻意义，在于它改变了问题的难度结构。原本只能依赖直观、局部技巧和作图的对象，一旦进入方程空间，就获得了可推广、可计算、可一般化的力量。抛物线不再只是图上的弯线，而是可以写成一个含参数的关系式，进而讨论极值、交点、变化率与更复杂的性质。</w:t>
      </w:r>
    </w:p>
    <w:p>
      <w:r>
        <w:t>但方程化并没有取消曲线的重要性。图形提供整体直观，符号提供严格演算。真正的力量，不在于消灭其中一种，而在于能够在二者之间往返。数学之所以强，正因为它会看，也会算；既保留图形的可见性，也利用方程的可操作性。</w:t>
      </w:r>
    </w:p>
    <w:p>
      <w:pPr>
        <w:pStyle w:val="Heading1"/>
      </w:pPr>
      <w:r>
        <w:t>第六章  声音与乐谱：流动之物如何得以停驻</w:t>
      </w:r>
    </w:p>
    <w:p>
      <w:r>
        <w:t>音乐最初属于时间，属于现场，也属于身体。它在空气里流动，唱过即逝，奏过即散。记谱法的伟大，不只是“方便记忆”，而是为一种原本难以长久停驻的艺术，发明了第二种存在方式。Britannica 将 musical notation 定义为“听到的或想象中的音乐声音的视觉记录”，并指出它帮助记忆和交流，使纯口传传统难以达到的复杂组织成为可能[6]。</w:t>
      </w:r>
    </w:p>
    <w:p>
      <w:r>
        <w:t>声音形式中的音乐有生命感，有表演者的气息与现场空间的回响；乐谱形式中的音乐则更适合保存、比较、传授与复现。没有记谱法，很难想象大型作品、复杂合奏与跨地域音乐传统如何形成。记谱法让音乐从一次性事件变成既可表演、又可阅读和研究的对象。</w:t>
      </w:r>
    </w:p>
    <w:p>
      <w:r>
        <w:t>当然，乐谱永远不是音乐本身。它记录的是结构，而不是全部体温；它保留了音高、时值、节拍等可形式化内容，却难以封存音色、临场呼吸和表演者的微妙自由。这里再次出现本书的核心逻辑：新形式带来新能力，同时也带来删减。乐谱不是音乐的坟墓，而是音乐在纸上的第二次出生。</w:t>
      </w:r>
    </w:p>
    <w:p>
      <w:pPr>
        <w:pStyle w:val="Heading1"/>
      </w:pPr>
      <w:r>
        <w:t>第七章  语言与文字：让声音跨越时间</w:t>
      </w:r>
    </w:p>
    <w:p>
      <w:r>
        <w:t>语言天然属于声音。它依赖语调、速度、停顿、表情与关系，是一种深度嵌入在场的活动。文字把语言从耳朵的世界带到眼睛的世界，使其成为可见的、可持久的痕迹。Britannica 指出，书写系统是代表语言话语的约定符号系统，它使语言可见，并因而较为持久[7]。这一变化直接改变了文明的深度。</w:t>
      </w:r>
    </w:p>
    <w:p>
      <w:r>
        <w:t>有了文字，社会才真正拥有长期记忆：法律可以成文，账册可以累积，经典可以流传，史书可以校订，学术可以继承。文字不是口语的附庸，而是复杂文明赖以成立的基础设施之一。没有文字，许多制度都会因纯口传的不稳定而难以形成。</w:t>
      </w:r>
    </w:p>
    <w:p>
      <w:r>
        <w:t>可文字的胜利也有代价。它让声音中的体温、语气、身体姿态和现场关系退到幕后。写下来的句子虽然更稳定，却更需要解释；它可以走得更远，却也更容易脱离原本的情境。因此，文字不是对口语的替代，而是语言进入另一种存在方式之后的新生命。它让声音跨越时间，也让声音失去部分在场性。</w:t>
      </w:r>
    </w:p>
    <w:p>
      <w:pPr>
        <w:pStyle w:val="Heading1"/>
      </w:pPr>
      <w:r>
        <w:t>第八章  地形与地图：模型的必要与傲慢</w:t>
      </w:r>
    </w:p>
    <w:p>
      <w:r>
        <w:t>地图之所以有用，正因为它不等于地形。真实地形过于丰富，若原样复制，反而无法携带、无法辨认、无法导航。地图通过比例、符号、投影和省略，把现实压缩成一个便于行动的版本。它牺牲细节，换来可操作性。</w:t>
      </w:r>
    </w:p>
    <w:p>
      <w:r>
        <w:t>这使地图成为理解“模型”的最佳比喻之一。方程是关系的地图，乐谱是声音的地图，文字是语言的地图，向量是语义的地图。所有这些形式都不是现实本身，而是现实在某种用途下的压缩版本。模型之所以强大，不是因为它比现实更真，而是因为它更适合当前任务。</w:t>
      </w:r>
    </w:p>
    <w:p>
      <w:r>
        <w:t>但地图也提醒我们：任何模型都可能滑向傲慢。越是成功的抽象，越容易让人忘记它只是抽象。数字太好用，人们就以为不可数字化者皆不重要；算法太高效，人们就以为模型抓不到的部分可以忽略。地图的智慧，在于知道自己是有用的近似；地图的危险，则在于人会忘记桥外仍有大地。</w:t>
      </w:r>
    </w:p>
    <w:p>
      <w:pPr>
        <w:pStyle w:val="Heading1"/>
      </w:pPr>
      <w:r>
        <w:t>第九章  时域与频域：把问题搬到另一个空间</w:t>
      </w:r>
    </w:p>
    <w:p>
      <w:r>
        <w:t>一段声音、一道振动或一个电信号，首先都以时间中的起伏呈现，这便是时域。傅里叶思想告诉我们，同一个对象还可以改写为频率成分的组合，这便是频域。Britannica 对 Fourier transform 的概括极为简洁：它把时域信号分解为其组成频率[10]。这不是简单换个标签，而是真正改变了问题的可见性。</w:t>
      </w:r>
    </w:p>
    <w:p>
      <w:r>
        <w:t>许多在时域中显得复杂、杂乱的波形，到频域中反而显出清晰结构。滤波、压缩、噪声分析、系统响应等问题，往往在频域中更易处理。于是，“换个空间看问题”不再是修辞，而成了精确技术。问题之难，并不只由对象决定，也由表征形式决定。</w:t>
      </w:r>
    </w:p>
    <w:p>
      <w:r>
        <w:t>时域与频域之间没有谁比谁更“真实”。它们只是同一对象的两种写法，一种更接近事件过程，一种更接近成分结构。文明的力量，在于能够稳定地在二者之间往返，而不是盲目宣布哪一方才是本质。</w:t>
      </w:r>
    </w:p>
    <w:p>
      <w:pPr>
        <w:pStyle w:val="Heading1"/>
      </w:pPr>
      <w:r>
        <w:t>第十章  逻辑与电路：思想如何获得机器的身体</w:t>
      </w:r>
    </w:p>
    <w:p>
      <w:r>
        <w:t>命题逻辑中的“与”“或”“非”，原本属于思想与语言。但通过布尔代数、真值表和逻辑门，这些关系可以被落到开关电路上。Britannica 对 switching theory 和 logic design 的说明指出，数字逻辑门按照布尔逻辑运作，通过组合可执行基本算术与决策功能[8][9][11]。抽象逻辑由此获得了物理身体。</w:t>
      </w:r>
    </w:p>
    <w:p>
      <w:r>
        <w:t>这意味着，思维中某些高度规则化、可离散化的部分，可以被转交给机器持续执行。现代计算机之所以震撼，不是因为它整体上“像人”，而是因为它把人类逻辑活动中可形式化的一部分推向了前所未有的规模。自动、重复、稳定、快速，这些都是转换后的形式红利。</w:t>
      </w:r>
    </w:p>
    <w:p>
      <w:r>
        <w:t>但这条桥的边界也必须看见。逻辑门擅长处理明确规则，不擅长承担含混、情境和主体经验。逻辑与电路的接通证明了思维的某一部分可被机械化，却并不等于全部心灵都能被还原为电路。成功的转换最容易制造的误解，就是把局部可接通误认为整体等同。</w:t>
      </w:r>
    </w:p>
    <w:p>
      <w:pPr>
        <w:pStyle w:val="Heading1"/>
      </w:pPr>
      <w:r>
        <w:t>第十一章  DNA与蛋白质：生命中的形式分工</w:t>
      </w:r>
    </w:p>
    <w:p>
      <w:r>
        <w:t>DNA 与蛋白质提醒我们，“形式分工＋转换机制”并不只是人类文明后来发明的策略，生命本身就在使用它。Genome.gov 对 central dogma 的说明指出，遗传信息通常从 DNA 流向 RNA，再流向蛋白质[5]。这条链条，正是同一信息在不同形式中分工协作的典范。</w:t>
      </w:r>
    </w:p>
    <w:p>
      <w:r>
        <w:t>DNA 更适合保存与复制，像文库和底稿；蛋白质更适合执行功能，像工匠和工厂；RNA 则承担中介与转接。生命并没有把“保存”和“行动”压在同一种材料形式上，而是通过转录与翻译，在不同形式之间分派任务。正因为如此，生命才同时拥有相对稳定性与高度灵活性。</w:t>
      </w:r>
    </w:p>
    <w:p>
      <w:r>
        <w:t>这组案例的启发很大：复杂系统若想长期维持，往往不能只靠单一形式。保存是一种能力，执行是另一种能力；记忆是一种形式，行动是另一种形式。生命早已用自己的方式证明了这一点。文明后来在书写、代码、存储、执行体上的许多设计，不过是以不同材料重演了生命早已掌握的逻辑。</w:t>
      </w:r>
    </w:p>
    <w:p>
      <w:pPr>
        <w:pStyle w:val="Heading1"/>
      </w:pPr>
      <w:r>
        <w:t>第十二章  文字与向量：人工智能时代的表征革命</w:t>
      </w:r>
    </w:p>
    <w:p>
      <w:r>
        <w:t>现代人工智能的一个关键动作，可以简洁地说成：把文字送进向量空间。文字原本是离散符号，适合人类阅读与解释；向量则是连续数值对象，适合距离计算、矩阵运算与并行处理。嵌入技术的意义，就在于为这两个世界建立桥梁。OpenAI 官方文档指出，embeddings 可以把文本转成数字表示，用于搜索、聚类、推荐、分类等任务[3][12]。</w:t>
      </w:r>
    </w:p>
    <w:p>
      <w:r>
        <w:t>这意味着，原本难以直接计算的“语义相关性”，在一定程度上被改写为空间中的“接近性”。关键词检索主要依赖字面匹配，而向量检索能够在意义相近而字面不同的内容之间建立联系。于是，文本理解中的一部分任务被迁移到几何空间中处理。</w:t>
      </w:r>
    </w:p>
    <w:p>
      <w:r>
        <w:t>但表征革命只有在算力革命配合时才真正改写时代。NVIDIA 官方将 CUDA 描述为 accelerated computing 的软件平台层，它使应用能够利用 GPU 的能力[4]。也就是说，向量表征如果没有与之匹配的并行计算基础设施，就很难在工业规模上生效。AI 的飞跃，并不是突然神秘地“拥有了智力”，而是表征、机制和算力三者联动的结果。</w:t>
      </w:r>
    </w:p>
    <w:p>
      <w:r>
        <w:t>代价也在这里同样显著。向量并不是意义本身，而是任务导向的压缩表示。它保留了大量有用的相关性，却未必完整封存反讽、历史语境、生命经验与情感色泽。越是在向量空间中获得高效率，越要提醒自己：可计算的相关性，不等于意义的全部。</w:t>
      </w:r>
    </w:p>
    <w:p>
      <w:pPr>
        <w:pStyle w:val="Heading1"/>
      </w:pPr>
      <w:r>
        <w:t>第十三章  人脑与电脑：可接通之处与不可接通之处</w:t>
      </w:r>
    </w:p>
    <w:p>
      <w:r>
        <w:t>在人脑与电脑之间寻找共性，容易引发两个极端：要么觉得电脑迟早就是大脑，要么认为二者毫无可比性。实际上，较为稳妥的说法是：二者在某些层面上具有重要但有限的共性，都能接收、存储、转换和输出信息；与此同时，它们在材料、演化背景、身体性、情感性和主体经验上差异巨大。</w:t>
      </w:r>
    </w:p>
    <w:p>
      <w:r>
        <w:t>现代人工智能的很多成功，恰恰发生在这些“可接通层面”上：模式识别、统计关联、部分语言生成、局部决策优化等。也就是说，人脑中的某些功能结构，确实可以被形式化、数据化并工程化。电脑并不需要像人一样有童年、饥饿或羞耻，才能在某些任务上表现出强大能力。</w:t>
      </w:r>
    </w:p>
    <w:p>
      <w:r>
        <w:t>但局部成功最容易诱发整体误判。向量相关性、神经网络权重和逻辑电路当然都极有力量，可它们并不自动推出主体性、意识与第一人称经验已被充分解释。因此，本章最重要的不是给出一句大而化之的结论，而是坚持边界意识：共性是桥梁，不是吞并；差异是事实，不是否认一切可比性。</w:t>
      </w:r>
    </w:p>
    <w:p>
      <w:pPr>
        <w:pStyle w:val="Heading1"/>
      </w:pPr>
      <w:r>
        <w:t>第十四章  转换的代价：每一次获得都伴随着删减</w:t>
      </w:r>
    </w:p>
    <w:p>
      <w:r>
        <w:t>如果没有代价，转换就只是复制；而现实中几乎不存在纯粹无损的复制。转换更像投影、压缩、编码和重写。石油转成电会有能量损耗，地图转写地形会删去大量细节，口语进入文字会失去声调和神态，文字进入向量会压缩语境与微妙意味。每一种新能力的获得，都意味着另一些能力的退场。</w:t>
      </w:r>
    </w:p>
    <w:p>
      <w:r>
        <w:t>可代价并不意味着失败。恰恰因为敢于承受删减，人类才获得抽象、模型与工程。没有压缩就没有地图，没有符号化就没有方程，没有数字化就没有现代计算。问题不在于有没有代价，而在于我们是否清楚知道自己付出了什么，是否在恰当场景中承担这些代价。</w:t>
      </w:r>
    </w:p>
    <w:p>
      <w:r>
        <w:t>现代社会许多误区，都与代价意识不足有关。考试分数之于教育、指标之于医疗、模型之于治理、向量之于语言，都有各自的红利；可一旦把这些形式误当成现实本身，形式就会从帮助理解变成遮蔽理解。真正成熟的文明，不是拒绝转换，而是为每一次转换附上一份“损失清单”。</w:t>
      </w:r>
    </w:p>
    <w:p>
      <w:pPr>
        <w:pStyle w:val="Heading1"/>
      </w:pPr>
      <w:r>
        <w:t>第十五章  不可转换之物：边界、在场与剩余</w:t>
      </w:r>
    </w:p>
    <w:p>
      <w:r>
        <w:t>既然本书如此重视转换，就必须面对一个问题：是否一切都能被转换？更稳妥的回答不是简单的“能”或“不能”，而是：很多对象都可以被部分表征、部分模型化、部分数字化，但一旦转换，所得对象往往不再等同于原物。</w:t>
      </w:r>
    </w:p>
    <w:p>
      <w:r>
        <w:t>诗可以做风格分析与向量检索，音乐可以被录音和记谱，悲伤可以通过文字、量表和生理指标部分呈现；但这些形式抓住的，往往只是原对象在某种用途下的切片。诗的个人回响、音乐现场的在场感、悲伤的第一人称经验，并不会因为外部表征充分而被彻底穷尽。这里出现的不是技术的完全失败，而是表征与在场之间的结构性距离。</w:t>
      </w:r>
    </w:p>
    <w:p>
      <w:r>
        <w:t>承认“不可转换之物”，并不是反科学、反技术，而是反轻率。它提醒我们：世界上始终会有一部分意义，必须在原形式中被经历，才能真正成立。桥梁再宏伟，也不能取消河流本身。文明的成熟，就在于既善于造桥，又懂得哪些河流不应被幻想为已经消失。</w:t>
      </w:r>
    </w:p>
    <w:p>
      <w:pPr>
        <w:pStyle w:val="Heading1"/>
      </w:pPr>
      <w:r>
        <w:t>结语  人类文明：不断发明新写法的历史</w:t>
      </w:r>
    </w:p>
    <w:p>
      <w:r>
        <w:t>全书讨论过石油与电、曲线与方程、声音与乐谱、语言与文字、地图与地形、时域与频域、逻辑与电路、DNA 与蛋白质、文字与向量、人脑与电脑。它们属于不同学科，却共享同一深层句法：先发现共性，再选择形式，再建立机制，然后获得新能力，并同时承担代价。</w:t>
      </w:r>
    </w:p>
    <w:p>
      <w:r>
        <w:t>从某种意义上说，人类文明并不只是不断发现新对象的历史，更是不断为对象找到新写法的历史。新的写法让世界变得更可见、更可算、更可传、更可控，也让不同知识系统之间彼此接通、相互借力。文明的许多飞跃，正是在这种写法变化中发生的。</w:t>
      </w:r>
    </w:p>
    <w:p>
      <w:r>
        <w:t>但真正成熟的文明，不会把新写法误认成世界全部。它会在享受转换带来的速度、规模和力量时，始终记得那些被压缩、删减和遮蔽的部分。世界当然还是这个世界，但每当人类为它找到一种新的写法，世界就像被重新照亮了一次；而每一次照亮，也都在别处投下新的阴影。理解这同时存在的光与影，或许正是本书最终想留下的判断。</w:t>
      </w:r>
    </w:p>
    <w:p>
      <w:pPr>
        <w:pStyle w:val="Heading1"/>
      </w:pPr>
      <w:r>
        <w:t>参考文献</w:t>
      </w:r>
    </w:p>
    <w:p>
      <w:r>
        <w:t>[1] Domski, Mary. Descartes’ Mathematics. Stanford Encyclopedia of Philosophy. Stanford University. Accessed 2026-04-16.</w:t>
      </w:r>
    </w:p>
    <w:p>
      <w:r>
        <w:t>[2] Hatfield, Gary. René Descartes. Stanford Encyclopedia of Philosophy. Stanford University. Accessed 2026-04-16.</w:t>
      </w:r>
    </w:p>
    <w:p>
      <w:r>
        <w:t>[3] OpenAI. Vector embeddings | OpenAI API. OpenAI Developers Documentation. Accessed 2026-04-16.</w:t>
      </w:r>
    </w:p>
    <w:p>
      <w:r>
        <w:t>[4] NVIDIA. CUDA Platform for Accelerated Computing. NVIDIA Developer. Accessed 2026-04-16.</w:t>
      </w:r>
    </w:p>
    <w:p>
      <w:r>
        <w:t>[5] National Human Genome Research Institute. Central Dogma. Genome.gov Genetics Glossary. Accessed 2026-04-16.</w:t>
      </w:r>
    </w:p>
    <w:p>
      <w:r>
        <w:t>[6] Encyclopaedia Britannica. Musical notation. Accessed 2026-04-16.</w:t>
      </w:r>
    </w:p>
    <w:p>
      <w:r>
        <w:t>[7] Encyclopaedia Britannica. Writing system; Writing. Accessed 2026-04-16.</w:t>
      </w:r>
    </w:p>
    <w:p>
      <w:r>
        <w:t>[8] Encyclopaedia Britannica. Switching theory. Accessed 2026-04-16.</w:t>
      </w:r>
    </w:p>
    <w:p>
      <w:r>
        <w:t>[9] Encyclopaedia Britannica. Logic design. Accessed 2026-04-16.</w:t>
      </w:r>
    </w:p>
    <w:p>
      <w:r>
        <w:t>[10] Encyclopaedia Britannica. Fourier transform. Accessed 2026-04-16.</w:t>
      </w:r>
    </w:p>
    <w:p>
      <w:r>
        <w:t>[11] Encyclopaedia Britannica. Boolean algebra; George Boole. Accessed 2026-04-16.</w:t>
      </w:r>
    </w:p>
    <w:p>
      <w:r>
        <w:t>[12] OpenAI. Key concepts: Embeddings. OpenAI Developers Documentation. Accessed 2026-04-16.</w:t>
      </w:r>
    </w:p>
    <w:sectPr w:rsidR="00FC693F" w:rsidRPr="0006063C" w:rsidSect="00034616">
      <w:pgSz w:w="12240" w:h="15840"/>
      <w:pgMar w:top="1361" w:right="1417" w:bottom="1361"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20"/>
    </w:pPr>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黑体"/>
      <w:b/>
      <w:bCs/>
      <w:color w:val="28282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楷体"/>
      <w:b/>
      <w:bCs/>
      <w:color w:val="28282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