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FEF" w:rsidRDefault="00BA2FEF" w:rsidP="00BA2FEF">
      <w:pPr>
        <w:ind w:left="569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作业：</w:t>
      </w:r>
      <w:r w:rsidRPr="00AA5FBB">
        <w:rPr>
          <w:rFonts w:hint="eastAsia"/>
          <w:b/>
          <w:color w:val="FF0000"/>
          <w:sz w:val="28"/>
          <w:szCs w:val="28"/>
        </w:rPr>
        <w:t>第一次</w:t>
      </w:r>
      <w:r>
        <w:rPr>
          <w:rFonts w:hint="eastAsia"/>
          <w:b/>
          <w:color w:val="FF0000"/>
          <w:sz w:val="28"/>
          <w:szCs w:val="28"/>
        </w:rPr>
        <w:t>综合</w:t>
      </w:r>
      <w:r w:rsidRPr="00AA5FBB">
        <w:rPr>
          <w:rFonts w:hint="eastAsia"/>
          <w:b/>
          <w:color w:val="FF0000"/>
          <w:sz w:val="28"/>
          <w:szCs w:val="28"/>
        </w:rPr>
        <w:t>研讨</w:t>
      </w:r>
      <w:r>
        <w:rPr>
          <w:rFonts w:hint="eastAsia"/>
          <w:b/>
          <w:color w:val="FF0000"/>
          <w:sz w:val="28"/>
          <w:szCs w:val="28"/>
        </w:rPr>
        <w:t>，</w:t>
      </w:r>
      <w:r w:rsidRPr="00AA5FBB">
        <w:rPr>
          <w:rFonts w:hint="eastAsia"/>
          <w:b/>
          <w:color w:val="FF0000"/>
          <w:sz w:val="28"/>
          <w:szCs w:val="28"/>
        </w:rPr>
        <w:t>小组形式。</w:t>
      </w:r>
    </w:p>
    <w:p w:rsidR="00BA2FEF" w:rsidRPr="00BA2FEF" w:rsidRDefault="00885C81" w:rsidP="00BA2FEF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885C81">
        <w:rPr>
          <w:rFonts w:hint="eastAsia"/>
          <w:b/>
          <w:bCs/>
          <w:sz w:val="28"/>
          <w:szCs w:val="28"/>
        </w:rPr>
        <w:t>学习</w:t>
      </w:r>
      <w:r>
        <w:rPr>
          <w:rFonts w:hint="eastAsia"/>
          <w:b/>
          <w:bCs/>
          <w:sz w:val="28"/>
          <w:szCs w:val="28"/>
        </w:rPr>
        <w:t>教材</w:t>
      </w:r>
      <w:r w:rsidRPr="00243AD2">
        <w:rPr>
          <w:rFonts w:hint="eastAsia"/>
          <w:b/>
          <w:bCs/>
          <w:sz w:val="28"/>
          <w:szCs w:val="28"/>
        </w:rPr>
        <w:t>表</w:t>
      </w:r>
      <w:r w:rsidRPr="00243AD2">
        <w:rPr>
          <w:rFonts w:hint="eastAsia"/>
          <w:b/>
          <w:bCs/>
          <w:sz w:val="28"/>
          <w:szCs w:val="28"/>
        </w:rPr>
        <w:t>2-2-1</w:t>
      </w:r>
      <w:r w:rsidRPr="00243AD2">
        <w:rPr>
          <w:rFonts w:hint="eastAsia"/>
          <w:b/>
          <w:bCs/>
          <w:sz w:val="28"/>
          <w:szCs w:val="28"/>
        </w:rPr>
        <w:t>，表</w:t>
      </w:r>
      <w:r w:rsidRPr="00243AD2">
        <w:rPr>
          <w:rFonts w:hint="eastAsia"/>
          <w:b/>
          <w:bCs/>
          <w:sz w:val="28"/>
          <w:szCs w:val="28"/>
        </w:rPr>
        <w:t>2-2-2</w:t>
      </w:r>
      <w:r w:rsidRPr="00885C81">
        <w:rPr>
          <w:rFonts w:hint="eastAsia"/>
          <w:b/>
          <w:bCs/>
          <w:sz w:val="28"/>
          <w:szCs w:val="28"/>
        </w:rPr>
        <w:t>中“常见交通需求管理主要策略、相互关系及实施方法”。每组选择其中的</w:t>
      </w:r>
      <w:r w:rsidRPr="00B33D4E">
        <w:rPr>
          <w:rFonts w:hint="eastAsia"/>
          <w:b/>
          <w:bCs/>
          <w:color w:val="FF0000"/>
          <w:sz w:val="28"/>
          <w:szCs w:val="28"/>
        </w:rPr>
        <w:t>一种措施</w:t>
      </w:r>
      <w:r w:rsidRPr="00885C81">
        <w:rPr>
          <w:rFonts w:hint="eastAsia"/>
          <w:b/>
          <w:bCs/>
          <w:sz w:val="28"/>
          <w:szCs w:val="28"/>
        </w:rPr>
        <w:t>进行研究</w:t>
      </w:r>
    </w:p>
    <w:p w:rsidR="00BA2FEF" w:rsidRPr="00BA2FEF" w:rsidRDefault="00BA2FEF" w:rsidP="00AB3B79">
      <w:pPr>
        <w:numPr>
          <w:ilvl w:val="0"/>
          <w:numId w:val="2"/>
        </w:numPr>
        <w:spacing w:beforeLines="50" w:before="156" w:line="300" w:lineRule="auto"/>
        <w:ind w:left="714" w:hanging="357"/>
        <w:rPr>
          <w:b/>
          <w:bCs/>
          <w:sz w:val="28"/>
          <w:szCs w:val="28"/>
        </w:rPr>
      </w:pPr>
      <w:r w:rsidRPr="00BA2FEF">
        <w:rPr>
          <w:rFonts w:hint="eastAsia"/>
          <w:b/>
          <w:bCs/>
          <w:sz w:val="28"/>
          <w:szCs w:val="28"/>
        </w:rPr>
        <w:t>作业要求：</w:t>
      </w:r>
    </w:p>
    <w:p w:rsidR="00BA2FEF" w:rsidRPr="002C5A6F" w:rsidRDefault="00BA2FEF" w:rsidP="005D6893">
      <w:pPr>
        <w:spacing w:line="360" w:lineRule="auto"/>
        <w:ind w:left="1080"/>
        <w:rPr>
          <w:color w:val="FF0000"/>
          <w:sz w:val="24"/>
          <w:szCs w:val="24"/>
        </w:rPr>
      </w:pPr>
      <w:r w:rsidRPr="002C5A6F">
        <w:rPr>
          <w:rFonts w:hint="eastAsia"/>
          <w:b/>
          <w:bCs/>
          <w:color w:val="FF0000"/>
          <w:sz w:val="24"/>
          <w:szCs w:val="24"/>
          <w:highlight w:val="yellow"/>
        </w:rPr>
        <w:t>（</w:t>
      </w:r>
      <w:r w:rsidRPr="002C5A6F">
        <w:rPr>
          <w:rFonts w:hint="eastAsia"/>
          <w:b/>
          <w:bCs/>
          <w:color w:val="FF0000"/>
          <w:sz w:val="24"/>
          <w:szCs w:val="24"/>
          <w:highlight w:val="yellow"/>
        </w:rPr>
        <w:t>1</w:t>
      </w:r>
      <w:r w:rsidRPr="002C5A6F">
        <w:rPr>
          <w:rFonts w:hint="eastAsia"/>
          <w:b/>
          <w:bCs/>
          <w:color w:val="FF0000"/>
          <w:sz w:val="24"/>
          <w:szCs w:val="24"/>
          <w:highlight w:val="yellow"/>
        </w:rPr>
        <w:t>）对国内外</w:t>
      </w:r>
      <w:r w:rsidRPr="002C5A6F">
        <w:rPr>
          <w:rFonts w:hint="eastAsia"/>
          <w:b/>
          <w:bCs/>
          <w:color w:val="FF0000"/>
          <w:sz w:val="24"/>
          <w:szCs w:val="24"/>
          <w:highlight w:val="yellow"/>
        </w:rPr>
        <w:t>2</w:t>
      </w:r>
      <w:r w:rsidRPr="002C5A6F">
        <w:rPr>
          <w:rFonts w:hint="eastAsia"/>
          <w:b/>
          <w:bCs/>
          <w:color w:val="FF0000"/>
          <w:sz w:val="24"/>
          <w:szCs w:val="24"/>
          <w:highlight w:val="yellow"/>
        </w:rPr>
        <w:t>篇以上相关文献进行检索学习（报告中详细列出文献信息）；</w:t>
      </w:r>
    </w:p>
    <w:p w:rsidR="00BA2FEF" w:rsidRPr="00BA2FEF" w:rsidRDefault="00BA2FEF" w:rsidP="005D6893">
      <w:pPr>
        <w:spacing w:line="360" w:lineRule="auto"/>
        <w:ind w:left="1080"/>
        <w:rPr>
          <w:b/>
          <w:bCs/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（</w:t>
      </w:r>
      <w:r w:rsidRPr="00BA2FEF">
        <w:rPr>
          <w:rFonts w:hint="eastAsia"/>
          <w:b/>
          <w:bCs/>
          <w:sz w:val="24"/>
          <w:szCs w:val="24"/>
        </w:rPr>
        <w:t>2</w:t>
      </w:r>
      <w:r w:rsidRPr="00BA2FEF">
        <w:rPr>
          <w:rFonts w:hint="eastAsia"/>
          <w:b/>
          <w:bCs/>
          <w:sz w:val="24"/>
          <w:szCs w:val="24"/>
        </w:rPr>
        <w:t>）每组提交一份研讨报告。内容包括（可拓展）：</w:t>
      </w:r>
    </w:p>
    <w:p w:rsidR="00243AD2" w:rsidRDefault="00243AD2" w:rsidP="00243AD2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proofErr w:type="gramStart"/>
      <w:r w:rsidRPr="00243AD2">
        <w:rPr>
          <w:rFonts w:hint="eastAsia"/>
          <w:b/>
          <w:bCs/>
          <w:sz w:val="24"/>
          <w:szCs w:val="24"/>
        </w:rPr>
        <w:t>隶属哪</w:t>
      </w:r>
      <w:proofErr w:type="gramEnd"/>
      <w:r w:rsidRPr="00243AD2">
        <w:rPr>
          <w:rFonts w:hint="eastAsia"/>
          <w:b/>
          <w:bCs/>
          <w:sz w:val="24"/>
          <w:szCs w:val="24"/>
        </w:rPr>
        <w:t>一层次的需求管理措施；</w:t>
      </w:r>
    </w:p>
    <w:p w:rsidR="00243AD2" w:rsidRDefault="00243AD2" w:rsidP="00243AD2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243AD2">
        <w:rPr>
          <w:rFonts w:hint="eastAsia"/>
          <w:b/>
          <w:bCs/>
          <w:sz w:val="24"/>
          <w:szCs w:val="24"/>
        </w:rPr>
        <w:t>影响居民出行的哪些阶段；对应哪些具体管理措施；</w:t>
      </w:r>
    </w:p>
    <w:p w:rsidR="00243AD2" w:rsidRPr="002C5A6F" w:rsidRDefault="00243AD2" w:rsidP="00243AD2">
      <w:pPr>
        <w:numPr>
          <w:ilvl w:val="0"/>
          <w:numId w:val="3"/>
        </w:numPr>
        <w:spacing w:line="360" w:lineRule="auto"/>
        <w:rPr>
          <w:b/>
          <w:bCs/>
          <w:color w:val="FF0000"/>
          <w:sz w:val="24"/>
          <w:szCs w:val="24"/>
          <w:highlight w:val="yellow"/>
        </w:rPr>
      </w:pPr>
      <w:r w:rsidRPr="002C5A6F">
        <w:rPr>
          <w:rFonts w:hint="eastAsia"/>
          <w:b/>
          <w:bCs/>
          <w:color w:val="FF0000"/>
          <w:sz w:val="24"/>
          <w:szCs w:val="24"/>
          <w:highlight w:val="yellow"/>
        </w:rPr>
        <w:t>分析管理措施的适应条件及可能效果（可引用举例说明）；</w:t>
      </w:r>
    </w:p>
    <w:p w:rsidR="00243AD2" w:rsidRPr="002C5A6F" w:rsidRDefault="006A3A41" w:rsidP="00243AD2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2C5A6F">
        <w:rPr>
          <w:rFonts w:hint="eastAsia"/>
          <w:b/>
          <w:bCs/>
          <w:sz w:val="24"/>
          <w:szCs w:val="24"/>
        </w:rPr>
        <w:t>适合采用何种评价方法（指标）进行</w:t>
      </w:r>
      <w:r w:rsidR="00243AD2" w:rsidRPr="002C5A6F">
        <w:rPr>
          <w:rFonts w:hint="eastAsia"/>
          <w:b/>
          <w:bCs/>
          <w:sz w:val="24"/>
          <w:szCs w:val="24"/>
        </w:rPr>
        <w:t>措施</w:t>
      </w:r>
      <w:r w:rsidRPr="002C5A6F">
        <w:rPr>
          <w:rFonts w:hint="eastAsia"/>
          <w:b/>
          <w:bCs/>
          <w:sz w:val="24"/>
          <w:szCs w:val="24"/>
        </w:rPr>
        <w:t>的效果</w:t>
      </w:r>
      <w:r w:rsidR="00243AD2" w:rsidRPr="002C5A6F">
        <w:rPr>
          <w:rFonts w:hint="eastAsia"/>
          <w:b/>
          <w:bCs/>
          <w:sz w:val="24"/>
          <w:szCs w:val="24"/>
        </w:rPr>
        <w:t>评价；</w:t>
      </w:r>
    </w:p>
    <w:p w:rsidR="00BA2FEF" w:rsidRPr="00BA2FEF" w:rsidRDefault="00243AD2" w:rsidP="00243AD2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243AD2">
        <w:rPr>
          <w:rFonts w:hint="eastAsia"/>
          <w:b/>
          <w:bCs/>
          <w:sz w:val="24"/>
          <w:szCs w:val="24"/>
        </w:rPr>
        <w:t>启发及建议</w:t>
      </w:r>
      <w:r>
        <w:rPr>
          <w:rFonts w:hint="eastAsia"/>
          <w:b/>
          <w:bCs/>
          <w:sz w:val="24"/>
          <w:szCs w:val="24"/>
        </w:rPr>
        <w:t>；</w:t>
      </w:r>
    </w:p>
    <w:p w:rsidR="00BA2FEF" w:rsidRPr="00BA2FEF" w:rsidRDefault="00BA2FEF" w:rsidP="005D689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小组成员分工具体说明。</w:t>
      </w:r>
    </w:p>
    <w:p w:rsidR="00BA2FEF" w:rsidRPr="00BA2FEF" w:rsidRDefault="00BA2FEF" w:rsidP="00AB3B79">
      <w:pPr>
        <w:numPr>
          <w:ilvl w:val="0"/>
          <w:numId w:val="2"/>
        </w:numPr>
        <w:spacing w:beforeLines="50" w:before="156" w:line="300" w:lineRule="auto"/>
        <w:ind w:left="714" w:hanging="357"/>
        <w:rPr>
          <w:b/>
          <w:bCs/>
          <w:sz w:val="28"/>
          <w:szCs w:val="28"/>
        </w:rPr>
      </w:pPr>
      <w:r w:rsidRPr="00BA2FEF">
        <w:rPr>
          <w:rFonts w:hint="eastAsia"/>
          <w:b/>
          <w:bCs/>
          <w:sz w:val="28"/>
          <w:szCs w:val="28"/>
        </w:rPr>
        <w:t>提交时间及考核：</w:t>
      </w:r>
    </w:p>
    <w:p w:rsidR="00BA2FEF" w:rsidRPr="00BA2FEF" w:rsidRDefault="00BA2FEF" w:rsidP="005D6893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10</w:t>
      </w:r>
      <w:r w:rsidRPr="00BA2FEF">
        <w:rPr>
          <w:rFonts w:hint="eastAsia"/>
          <w:b/>
          <w:bCs/>
          <w:sz w:val="24"/>
          <w:szCs w:val="24"/>
        </w:rPr>
        <w:t>月</w:t>
      </w:r>
      <w:r w:rsidR="006A3A41">
        <w:rPr>
          <w:b/>
          <w:bCs/>
          <w:sz w:val="24"/>
          <w:szCs w:val="24"/>
        </w:rPr>
        <w:t>22</w:t>
      </w:r>
      <w:r w:rsidRPr="00BA2FEF">
        <w:rPr>
          <w:rFonts w:hint="eastAsia"/>
          <w:b/>
          <w:bCs/>
          <w:sz w:val="24"/>
          <w:szCs w:val="24"/>
        </w:rPr>
        <w:t>日</w:t>
      </w:r>
      <w:r w:rsidR="009D7D67">
        <w:rPr>
          <w:rFonts w:hint="eastAsia"/>
          <w:b/>
          <w:bCs/>
          <w:sz w:val="24"/>
          <w:szCs w:val="24"/>
        </w:rPr>
        <w:t>下午</w:t>
      </w:r>
      <w:r w:rsidR="006A3A41">
        <w:rPr>
          <w:b/>
          <w:bCs/>
          <w:sz w:val="24"/>
          <w:szCs w:val="24"/>
        </w:rPr>
        <w:t>20</w:t>
      </w:r>
      <w:r w:rsidRPr="00BA2FEF">
        <w:rPr>
          <w:rFonts w:hint="eastAsia"/>
          <w:b/>
          <w:bCs/>
          <w:sz w:val="24"/>
          <w:szCs w:val="24"/>
        </w:rPr>
        <w:t>：</w:t>
      </w:r>
      <w:r w:rsidRPr="00BA2FEF">
        <w:rPr>
          <w:rFonts w:hint="eastAsia"/>
          <w:b/>
          <w:bCs/>
          <w:sz w:val="24"/>
          <w:szCs w:val="24"/>
        </w:rPr>
        <w:t>00</w:t>
      </w:r>
      <w:r w:rsidRPr="00BA2FEF">
        <w:rPr>
          <w:rFonts w:hint="eastAsia"/>
          <w:b/>
          <w:bCs/>
          <w:sz w:val="24"/>
          <w:szCs w:val="24"/>
        </w:rPr>
        <w:t>前提交报告</w:t>
      </w:r>
      <w:r w:rsidRPr="00BA2FEF">
        <w:rPr>
          <w:rFonts w:hint="eastAsia"/>
          <w:b/>
          <w:bCs/>
          <w:sz w:val="24"/>
          <w:szCs w:val="24"/>
        </w:rPr>
        <w:t>word</w:t>
      </w:r>
      <w:r w:rsidRPr="00BA2FEF">
        <w:rPr>
          <w:rFonts w:hint="eastAsia"/>
          <w:b/>
          <w:bCs/>
          <w:sz w:val="24"/>
          <w:szCs w:val="24"/>
        </w:rPr>
        <w:t>文字说明和</w:t>
      </w:r>
      <w:r w:rsidRPr="00BA2FEF">
        <w:rPr>
          <w:rFonts w:hint="eastAsia"/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报告</w:t>
      </w:r>
      <w:r w:rsidR="005D6893">
        <w:rPr>
          <w:rFonts w:hint="eastAsia"/>
          <w:b/>
          <w:bCs/>
          <w:sz w:val="24"/>
          <w:szCs w:val="24"/>
        </w:rPr>
        <w:t>。</w:t>
      </w:r>
      <w:r w:rsidR="009D7D67">
        <w:rPr>
          <w:rFonts w:hint="eastAsia"/>
          <w:b/>
          <w:bCs/>
          <w:sz w:val="24"/>
          <w:szCs w:val="24"/>
        </w:rPr>
        <w:t>上传至百度云“作业上传目录”，压缩包名称为：作业</w:t>
      </w:r>
      <w:r w:rsidR="009D7D67">
        <w:rPr>
          <w:rFonts w:hint="eastAsia"/>
          <w:b/>
          <w:bCs/>
          <w:sz w:val="24"/>
          <w:szCs w:val="24"/>
        </w:rPr>
        <w:t>1-</w:t>
      </w:r>
      <w:r w:rsidR="009D7D67">
        <w:rPr>
          <w:rFonts w:hint="eastAsia"/>
          <w:b/>
          <w:bCs/>
          <w:sz w:val="24"/>
          <w:szCs w:val="24"/>
        </w:rPr>
        <w:t>第</w:t>
      </w:r>
      <w:r w:rsidR="009D7D67">
        <w:rPr>
          <w:rFonts w:hint="eastAsia"/>
          <w:b/>
          <w:bCs/>
          <w:sz w:val="24"/>
          <w:szCs w:val="24"/>
        </w:rPr>
        <w:t>*</w:t>
      </w:r>
      <w:r w:rsidR="009D7D67">
        <w:rPr>
          <w:rFonts w:hint="eastAsia"/>
          <w:b/>
          <w:bCs/>
          <w:sz w:val="24"/>
          <w:szCs w:val="24"/>
        </w:rPr>
        <w:t>组</w:t>
      </w:r>
      <w:r w:rsidR="009D7D67">
        <w:rPr>
          <w:rFonts w:hint="eastAsia"/>
          <w:b/>
          <w:bCs/>
          <w:sz w:val="24"/>
          <w:szCs w:val="24"/>
        </w:rPr>
        <w:t>-</w:t>
      </w:r>
      <w:r w:rsidR="009D7D67">
        <w:rPr>
          <w:rFonts w:hint="eastAsia"/>
          <w:b/>
          <w:bCs/>
          <w:sz w:val="24"/>
          <w:szCs w:val="24"/>
        </w:rPr>
        <w:t>姓名</w:t>
      </w:r>
      <w:r w:rsidRPr="00BA2FEF">
        <w:rPr>
          <w:rFonts w:hint="eastAsia"/>
          <w:b/>
          <w:bCs/>
          <w:sz w:val="24"/>
          <w:szCs w:val="24"/>
        </w:rPr>
        <w:t>；</w:t>
      </w:r>
    </w:p>
    <w:p w:rsidR="00BA2FEF" w:rsidRPr="005006A7" w:rsidRDefault="00BA2FEF" w:rsidP="005D6893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10</w:t>
      </w:r>
      <w:r w:rsidRPr="00BA2FEF">
        <w:rPr>
          <w:rFonts w:hint="eastAsia"/>
          <w:b/>
          <w:bCs/>
          <w:sz w:val="24"/>
          <w:szCs w:val="24"/>
        </w:rPr>
        <w:t>月</w:t>
      </w:r>
      <w:r w:rsidR="006A3A41">
        <w:rPr>
          <w:b/>
          <w:bCs/>
          <w:sz w:val="24"/>
          <w:szCs w:val="24"/>
        </w:rPr>
        <w:t>23</w:t>
      </w:r>
      <w:r w:rsidRPr="00BA2FEF">
        <w:rPr>
          <w:rFonts w:hint="eastAsia"/>
          <w:b/>
          <w:bCs/>
          <w:sz w:val="24"/>
          <w:szCs w:val="24"/>
        </w:rPr>
        <w:t>日分组进行</w:t>
      </w:r>
      <w:r w:rsidRPr="00BA2FEF">
        <w:rPr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（每组</w:t>
      </w:r>
      <w:r w:rsidR="00972311">
        <w:rPr>
          <w:rFonts w:hint="eastAsia"/>
          <w:b/>
          <w:bCs/>
          <w:sz w:val="24"/>
          <w:szCs w:val="24"/>
        </w:rPr>
        <w:t>8</w:t>
      </w:r>
      <w:r w:rsidRPr="00BA2FEF">
        <w:rPr>
          <w:rFonts w:hint="eastAsia"/>
          <w:b/>
          <w:bCs/>
          <w:sz w:val="24"/>
          <w:szCs w:val="24"/>
        </w:rPr>
        <w:t>分钟以内）汇报成果，课堂讨论。</w:t>
      </w:r>
      <w:r w:rsidRPr="00BA2FEF">
        <w:rPr>
          <w:rFonts w:hint="eastAsia"/>
          <w:b/>
          <w:bCs/>
          <w:color w:val="FF0000"/>
          <w:sz w:val="24"/>
          <w:szCs w:val="24"/>
        </w:rPr>
        <w:t>PPT</w:t>
      </w:r>
      <w:r w:rsidRPr="00BA2FEF">
        <w:rPr>
          <w:rFonts w:hint="eastAsia"/>
          <w:b/>
          <w:bCs/>
          <w:color w:val="FF0000"/>
          <w:sz w:val="24"/>
          <w:szCs w:val="24"/>
        </w:rPr>
        <w:t>只对文献资料学习中最有价值的一部分进行重点说明，其它环节简化。</w:t>
      </w:r>
    </w:p>
    <w:p w:rsidR="00D54225" w:rsidRDefault="00D54225">
      <w:pPr>
        <w:widowControl/>
        <w:jc w:val="left"/>
        <w:rPr>
          <w:sz w:val="24"/>
          <w:szCs w:val="24"/>
        </w:rPr>
      </w:pPr>
    </w:p>
    <w:p w:rsidR="00AC5F33" w:rsidRPr="00DB0A99" w:rsidRDefault="00AC5F33">
      <w:pPr>
        <w:widowControl/>
        <w:jc w:val="left"/>
        <w:rPr>
          <w:b/>
          <w:color w:val="FF0000"/>
          <w:sz w:val="28"/>
          <w:szCs w:val="24"/>
        </w:rPr>
      </w:pPr>
      <w:r w:rsidRPr="00DB0A99">
        <w:rPr>
          <w:rFonts w:hint="eastAsia"/>
          <w:b/>
          <w:color w:val="FF0000"/>
          <w:sz w:val="28"/>
          <w:szCs w:val="24"/>
        </w:rPr>
        <w:t>平时作业评价参考：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1700"/>
        <w:gridCol w:w="3360"/>
      </w:tblGrid>
      <w:tr w:rsidR="00AC5F33" w:rsidRPr="00AC5F33" w:rsidTr="00AC5F33">
        <w:trPr>
          <w:trHeight w:val="420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响应作业的完整度</w:t>
            </w:r>
          </w:p>
        </w:tc>
      </w:tr>
      <w:tr w:rsidR="00AC5F33" w:rsidRPr="00AC5F33" w:rsidTr="00AC5F33">
        <w:trPr>
          <w:trHeight w:val="42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内容准确性</w:t>
            </w:r>
          </w:p>
        </w:tc>
      </w:tr>
      <w:tr w:rsidR="00AC5F33" w:rsidRPr="00AC5F33" w:rsidTr="00AC5F33">
        <w:trPr>
          <w:trHeight w:val="42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认真、规范程度</w:t>
            </w:r>
          </w:p>
        </w:tc>
      </w:tr>
      <w:tr w:rsidR="00AC5F33" w:rsidRPr="00AC5F33" w:rsidTr="00AC5F33">
        <w:trPr>
          <w:trHeight w:val="42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独立和拓展性思考</w:t>
            </w:r>
          </w:p>
        </w:tc>
      </w:tr>
      <w:tr w:rsidR="00AC5F33" w:rsidRPr="00AC5F33" w:rsidTr="00AC5F33">
        <w:trPr>
          <w:trHeight w:val="42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F33" w:rsidRPr="00AC5F33" w:rsidRDefault="00AC5F33" w:rsidP="00AC5F3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C5F3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有无抄袭</w:t>
            </w:r>
          </w:p>
        </w:tc>
      </w:tr>
    </w:tbl>
    <w:p w:rsidR="00CF5A5C" w:rsidRDefault="005006A7" w:rsidP="00DB0A99">
      <w:pPr>
        <w:spacing w:line="300" w:lineRule="auto"/>
        <w:ind w:left="360"/>
      </w:pPr>
      <w:r w:rsidRPr="005D6893">
        <w:rPr>
          <w:rFonts w:hint="eastAsia"/>
          <w:b/>
          <w:bCs/>
          <w:color w:val="FF0000"/>
          <w:sz w:val="28"/>
          <w:szCs w:val="24"/>
        </w:rPr>
        <w:t>本课程所有作业如有重复和抄袭现象，均按</w:t>
      </w:r>
      <w:r w:rsidRPr="005D6893">
        <w:rPr>
          <w:rFonts w:hint="eastAsia"/>
          <w:b/>
          <w:bCs/>
          <w:color w:val="FF0000"/>
          <w:sz w:val="28"/>
          <w:szCs w:val="24"/>
        </w:rPr>
        <w:t>0</w:t>
      </w:r>
      <w:r w:rsidRPr="005D6893">
        <w:rPr>
          <w:rFonts w:hint="eastAsia"/>
          <w:b/>
          <w:bCs/>
          <w:color w:val="FF0000"/>
          <w:sz w:val="28"/>
          <w:szCs w:val="24"/>
        </w:rPr>
        <w:t>分处理。</w:t>
      </w:r>
      <w:r w:rsidR="00CF5A5C">
        <w:br w:type="page"/>
      </w:r>
    </w:p>
    <w:p w:rsidR="00CF5A5C" w:rsidRPr="00E60ADA" w:rsidRDefault="00CF5A5C" w:rsidP="00CF5A5C">
      <w:pPr>
        <w:pStyle w:val="a6"/>
        <w:rPr>
          <w:sz w:val="18"/>
          <w:szCs w:val="18"/>
        </w:rPr>
      </w:pPr>
      <w:r w:rsidRPr="00E60ADA">
        <w:rPr>
          <w:rFonts w:hint="eastAsia"/>
          <w:sz w:val="18"/>
          <w:szCs w:val="18"/>
        </w:rPr>
        <w:lastRenderedPageBreak/>
        <w:t>表</w:t>
      </w:r>
      <w:r w:rsidRPr="00E60ADA">
        <w:rPr>
          <w:rFonts w:hint="eastAsia"/>
          <w:sz w:val="18"/>
          <w:szCs w:val="18"/>
        </w:rPr>
        <w:t>2-</w:t>
      </w:r>
      <w:r>
        <w:rPr>
          <w:rFonts w:hint="eastAsia"/>
          <w:sz w:val="18"/>
          <w:szCs w:val="18"/>
        </w:rPr>
        <w:t>2-</w:t>
      </w:r>
      <w:r w:rsidRPr="00E60ADA">
        <w:rPr>
          <w:rFonts w:hint="eastAsia"/>
          <w:sz w:val="18"/>
          <w:szCs w:val="18"/>
        </w:rPr>
        <w:t xml:space="preserve">1 </w:t>
      </w:r>
      <w:r w:rsidRPr="00E60ADA">
        <w:rPr>
          <w:rFonts w:hint="eastAsia"/>
          <w:sz w:val="18"/>
          <w:szCs w:val="18"/>
        </w:rPr>
        <w:t>交通需求管理主要策略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1897"/>
        <w:gridCol w:w="2127"/>
        <w:gridCol w:w="1984"/>
      </w:tblGrid>
      <w:tr w:rsidR="00CF5A5C" w:rsidRPr="00E60ADA" w:rsidTr="004B49A0">
        <w:trPr>
          <w:trHeight w:val="285"/>
        </w:trPr>
        <w:tc>
          <w:tcPr>
            <w:tcW w:w="218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改善运输模式</w:t>
            </w:r>
          </w:p>
        </w:tc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鼓励替代交通方式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停车和土地使用管理</w:t>
            </w:r>
          </w:p>
        </w:tc>
        <w:tc>
          <w:tcPr>
            <w:tcW w:w="198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政策与机构改革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公共交通改善</w:t>
            </w:r>
          </w:p>
        </w:tc>
        <w:tc>
          <w:tcPr>
            <w:tcW w:w="1897" w:type="dxa"/>
            <w:tcBorders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道路收费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auto"/>
            <w:noWrap/>
          </w:tcPr>
          <w:p w:rsidR="00CF5A5C" w:rsidRPr="002C5A6F" w:rsidRDefault="00CF5A5C" w:rsidP="004B49A0">
            <w:pPr>
              <w:pStyle w:val="a5"/>
              <w:spacing w:line="240" w:lineRule="auto"/>
              <w:rPr>
                <w:color w:val="FF0000"/>
                <w:sz w:val="18"/>
                <w:szCs w:val="18"/>
                <w:highlight w:val="yellow"/>
              </w:rPr>
            </w:pPr>
            <w:r w:rsidRPr="002C5A6F">
              <w:rPr>
                <w:rFonts w:hint="eastAsia"/>
                <w:color w:val="FF0000"/>
                <w:sz w:val="18"/>
                <w:szCs w:val="18"/>
                <w:highlight w:val="yellow"/>
              </w:rPr>
              <w:t>可持续增长</w:t>
            </w:r>
          </w:p>
        </w:tc>
        <w:tc>
          <w:tcPr>
            <w:tcW w:w="1984" w:type="dxa"/>
            <w:tcBorders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变动管理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改善非机动车交通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按里程收费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2C5A6F" w:rsidRDefault="00CF5A5C" w:rsidP="004B49A0">
            <w:pPr>
              <w:pStyle w:val="a5"/>
              <w:spacing w:line="240" w:lineRule="auto"/>
              <w:rPr>
                <w:color w:val="FF0000"/>
                <w:sz w:val="18"/>
                <w:szCs w:val="18"/>
                <w:highlight w:val="yellow"/>
              </w:rPr>
            </w:pPr>
            <w:r w:rsidRPr="002C5A6F">
              <w:rPr>
                <w:rFonts w:hint="eastAsia"/>
                <w:color w:val="FF0000"/>
                <w:sz w:val="18"/>
                <w:szCs w:val="18"/>
                <w:highlight w:val="yellow"/>
              </w:rPr>
              <w:t>新型城市开发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全面的市场改革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proofErr w:type="gramStart"/>
            <w:r w:rsidRPr="00E60ADA">
              <w:rPr>
                <w:rFonts w:hint="eastAsia"/>
                <w:sz w:val="18"/>
                <w:szCs w:val="18"/>
              </w:rPr>
              <w:t>拼车计划</w:t>
            </w:r>
            <w:proofErr w:type="gramEnd"/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通勤财政激励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土地高效利用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机构改革</w:t>
            </w:r>
          </w:p>
        </w:tc>
      </w:tr>
      <w:tr w:rsidR="00CF5A5C" w:rsidRPr="00E60ADA" w:rsidTr="004B49A0">
        <w:trPr>
          <w:trHeight w:val="319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弹性工作时间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停车收费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停车管理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最低成本规划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合乘车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提高燃油税费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交通引导土地利用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运营和管理计划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远程办公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拥挤收费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交通安宁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优先运输政策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改善出租车条件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鼓励非机动车交通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无车计划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规章制度的改革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自行车</w:t>
            </w:r>
            <w:r w:rsidRPr="00E60ADA">
              <w:rPr>
                <w:rFonts w:hint="eastAsia"/>
                <w:sz w:val="18"/>
                <w:szCs w:val="18"/>
              </w:rPr>
              <w:t>/</w:t>
            </w:r>
            <w:r w:rsidRPr="00E60ADA">
              <w:rPr>
                <w:rFonts w:hint="eastAsia"/>
                <w:sz w:val="18"/>
                <w:szCs w:val="18"/>
              </w:rPr>
              <w:t>公交一体化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道路空间再分配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共享停车设施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应急规划</w:t>
            </w: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停车换乘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高承载</w:t>
            </w:r>
            <w:proofErr w:type="gramStart"/>
            <w:r w:rsidRPr="00E60ADA">
              <w:rPr>
                <w:rFonts w:hint="eastAsia"/>
                <w:sz w:val="18"/>
                <w:szCs w:val="18"/>
              </w:rPr>
              <w:t>率车辆</w:t>
            </w:r>
            <w:proofErr w:type="gramEnd"/>
            <w:r w:rsidRPr="00E60ADA">
              <w:rPr>
                <w:rFonts w:hint="eastAsia"/>
                <w:sz w:val="18"/>
                <w:szCs w:val="18"/>
              </w:rPr>
              <w:t>优先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快速公交系统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限制小汽车使用</w:t>
            </w:r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轻轨交通</w:t>
            </w: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</w:tr>
      <w:tr w:rsidR="00CF5A5C" w:rsidRPr="00E60ADA" w:rsidTr="004B49A0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  <w:r w:rsidRPr="00E60ADA">
              <w:rPr>
                <w:rFonts w:hint="eastAsia"/>
                <w:sz w:val="18"/>
                <w:szCs w:val="18"/>
              </w:rPr>
              <w:t>穿梭巴士</w:t>
            </w:r>
          </w:p>
        </w:tc>
        <w:tc>
          <w:tcPr>
            <w:tcW w:w="189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BC2002" w:rsidRDefault="00BC2002"/>
    <w:p w:rsidR="00CF5A5C" w:rsidRPr="00E60ADA" w:rsidRDefault="00CF5A5C" w:rsidP="00CF5A5C">
      <w:pPr>
        <w:pStyle w:val="a6"/>
        <w:spacing w:line="240" w:lineRule="auto"/>
        <w:rPr>
          <w:sz w:val="18"/>
          <w:szCs w:val="18"/>
        </w:rPr>
      </w:pPr>
      <w:r w:rsidRPr="00E60ADA">
        <w:rPr>
          <w:rFonts w:hint="eastAsia"/>
          <w:sz w:val="18"/>
          <w:szCs w:val="18"/>
        </w:rPr>
        <w:t>表</w:t>
      </w:r>
      <w:r w:rsidRPr="00E60ADA">
        <w:rPr>
          <w:rFonts w:hint="eastAsia"/>
          <w:sz w:val="18"/>
          <w:szCs w:val="18"/>
        </w:rPr>
        <w:t>2-2</w:t>
      </w:r>
      <w:r>
        <w:rPr>
          <w:rFonts w:hint="eastAsia"/>
          <w:sz w:val="18"/>
          <w:szCs w:val="18"/>
        </w:rPr>
        <w:t>-2</w:t>
      </w:r>
      <w:r w:rsidRPr="00E60ADA">
        <w:rPr>
          <w:rFonts w:hint="eastAsia"/>
          <w:sz w:val="18"/>
          <w:szCs w:val="18"/>
        </w:rPr>
        <w:t>常见交通需求管理策略之间的关系及实施方法</w:t>
      </w:r>
    </w:p>
    <w:tbl>
      <w:tblPr>
        <w:tblW w:w="1006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688"/>
        <w:gridCol w:w="4275"/>
        <w:gridCol w:w="3675"/>
      </w:tblGrid>
      <w:tr w:rsidR="00CF5A5C" w:rsidRPr="00E60ADA" w:rsidTr="00CF5A5C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类别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措施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与其他策略关系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实施方法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 w:val="restart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土地利用管理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CF5A5C" w:rsidRPr="002C5A6F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color w:val="FF0000"/>
                <w:sz w:val="18"/>
                <w:szCs w:val="18"/>
                <w:highlight w:val="yellow"/>
              </w:rPr>
            </w:pP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面向公交的土地利用（</w:t>
            </w:r>
            <w:r w:rsidRPr="002C5A6F">
              <w:rPr>
                <w:rFonts w:cs="Times New Roman"/>
                <w:color w:val="FF0000"/>
                <w:sz w:val="18"/>
                <w:szCs w:val="18"/>
                <w:highlight w:val="yellow"/>
              </w:rPr>
              <w:t>T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ransit</w:t>
            </w:r>
            <w:r w:rsidRPr="002C5A6F">
              <w:rPr>
                <w:rFonts w:cs="Times New Roman"/>
                <w:color w:val="FF0000"/>
                <w:sz w:val="18"/>
                <w:szCs w:val="18"/>
                <w:highlight w:val="yellow"/>
              </w:rPr>
              <w:t xml:space="preserve"> O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 xml:space="preserve">riented </w:t>
            </w:r>
            <w:r w:rsidRPr="002C5A6F">
              <w:rPr>
                <w:rFonts w:cs="Times New Roman"/>
                <w:color w:val="FF0000"/>
                <w:sz w:val="18"/>
                <w:szCs w:val="18"/>
                <w:highlight w:val="yellow"/>
              </w:rPr>
              <w:t xml:space="preserve"> D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evelopment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，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TOD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2C5A6F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color w:val="FF0000"/>
                <w:sz w:val="18"/>
                <w:szCs w:val="18"/>
                <w:highlight w:val="yellow"/>
              </w:rPr>
            </w:pPr>
            <w:r w:rsidRPr="002C5A6F">
              <w:rPr>
                <w:rFonts w:cs="Times New Roman" w:hint="eastAsia"/>
                <w:b/>
                <w:color w:val="FF0000"/>
                <w:sz w:val="18"/>
                <w:szCs w:val="18"/>
                <w:highlight w:val="yellow"/>
              </w:rPr>
              <w:t>属于：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新兴城市开发、可持续增长、土地高效利用、出入口管理</w:t>
            </w:r>
          </w:p>
          <w:p w:rsidR="00CF5A5C" w:rsidRPr="002C5A6F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color w:val="FF0000"/>
                <w:sz w:val="18"/>
                <w:szCs w:val="18"/>
                <w:highlight w:val="yellow"/>
              </w:rPr>
            </w:pPr>
            <w:r w:rsidRPr="002C5A6F">
              <w:rPr>
                <w:rFonts w:cs="Times New Roman" w:hint="eastAsia"/>
                <w:b/>
                <w:color w:val="FF0000"/>
                <w:sz w:val="18"/>
                <w:szCs w:val="18"/>
                <w:highlight w:val="yellow"/>
              </w:rPr>
              <w:t>相互支持：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减少通勤交通、改善公共交通、土地高效利用、停车管理、停车收费、交通安宁、学校交通管理、大学校园交通管理、合乘车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2C5A6F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color w:val="FF0000"/>
                <w:sz w:val="18"/>
                <w:szCs w:val="18"/>
                <w:highlight w:val="yellow"/>
              </w:rPr>
            </w:pP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TOD</w:t>
            </w:r>
            <w:r w:rsidRPr="002C5A6F">
              <w:rPr>
                <w:rFonts w:cs="Times New Roman" w:hint="eastAsia"/>
                <w:color w:val="FF0000"/>
                <w:sz w:val="18"/>
                <w:szCs w:val="18"/>
                <w:highlight w:val="yellow"/>
              </w:rPr>
              <w:t>由当地规划部门进行规划设计，有计划的在公共交通站点附近规划新的住宅小区，并进行混合用地规划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无车计划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非机动车设施管理、交通安宁、改善公共交通、完善非机动车交通、合乘车、集约化增长、停车管理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要全面考虑城市环境条件及道路交通条件，提供及时便捷的交通替代方式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土地高效利用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集约化增长、新型城市开发、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、出入口管理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改善非机动车交通、改善公共交通、停车管理、合乘车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要考虑房价的增长及居民生活水平，对停车场进行合理的规划和利用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新兴城市开发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rPr>
                <w:sz w:val="18"/>
                <w:szCs w:val="18"/>
              </w:rPr>
            </w:pPr>
            <w:r w:rsidRPr="00E60ADA">
              <w:rPr>
                <w:rFonts w:hint="eastAsia"/>
                <w:b/>
                <w:sz w:val="18"/>
                <w:szCs w:val="18"/>
              </w:rPr>
              <w:t>意义相似：</w:t>
            </w:r>
            <w:r w:rsidRPr="00E60ADA">
              <w:rPr>
                <w:rFonts w:hint="eastAsia"/>
                <w:sz w:val="18"/>
                <w:szCs w:val="18"/>
              </w:rPr>
              <w:t>集约化增长、</w:t>
            </w:r>
            <w:r w:rsidRPr="00E60ADA">
              <w:rPr>
                <w:rFonts w:hint="eastAsia"/>
                <w:sz w:val="18"/>
                <w:szCs w:val="18"/>
              </w:rPr>
              <w:t>TOD</w:t>
            </w:r>
            <w:r w:rsidRPr="00E60ADA">
              <w:rPr>
                <w:rFonts w:hint="eastAsia"/>
                <w:sz w:val="18"/>
                <w:szCs w:val="18"/>
              </w:rPr>
              <w:t>、土地高效利用</w:t>
            </w:r>
          </w:p>
          <w:p w:rsidR="00CF5A5C" w:rsidRPr="00E60ADA" w:rsidRDefault="00CF5A5C" w:rsidP="004B49A0">
            <w:pPr>
              <w:rPr>
                <w:sz w:val="18"/>
                <w:szCs w:val="18"/>
              </w:rPr>
            </w:pPr>
            <w:r w:rsidRPr="00E60ADA">
              <w:rPr>
                <w:rFonts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hint="eastAsia"/>
                <w:sz w:val="18"/>
                <w:szCs w:val="18"/>
              </w:rPr>
              <w:t>交通安宁、改善非机动车交通、道路空间再分配、合乘车、道路收费、停车收费、停车管理、改善公共交通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对规划者和开发者进行相关政策的教育，加强个人与集体的合作，提供多种交通方式的选择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停车管理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交通需求管理、减少通勤交通、校园交通管理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改善非机动车交通、改善公共交通、集约化增长、新型城市开发、运输定价改革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资源有效利用，加强相关服务措施，停车措施要与当地管理部门进行协调，加强新技术的使用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可持续增长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改善非机动车交通、交通安宁、改善公共交通、停车管理、停车收费、合乘车、新兴城市开发、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制定全面的城市发展战略，合理利用现有资源，提供多种交通方式的选择，与土地利用政策相协调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共享停车设施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交通需求管理、减少通勤交通、校园交通管理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改善非机动车交通、改善公共交通、可持续增长、新兴城市开发、运输定价改革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建立标准的实施步骤，对最小停车需求进行准确计算，设置合适的交通标志，对相关政策法规进行制定。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交通安宁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车辆限制、速度限制、改善非机动车交通、</w:t>
            </w:r>
            <w:r w:rsidRPr="00E60ADA">
              <w:rPr>
                <w:rFonts w:cs="Times New Roman" w:hint="eastAsia"/>
                <w:sz w:val="18"/>
                <w:szCs w:val="18"/>
              </w:rPr>
              <w:lastRenderedPageBreak/>
              <w:t>集约化增长、新型城市开发、校园交通管理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lastRenderedPageBreak/>
              <w:t>应加强公众参与，按照行业标准进行相关设</w:t>
            </w:r>
            <w:r w:rsidRPr="00E60ADA">
              <w:rPr>
                <w:rFonts w:cs="Times New Roman" w:hint="eastAsia"/>
                <w:sz w:val="18"/>
                <w:szCs w:val="18"/>
              </w:rPr>
              <w:lastRenderedPageBreak/>
              <w:t>计，改善街道环境，增强出行者的安全感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 w:val="restart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lastRenderedPageBreak/>
              <w:t>改善交通行为模式</w:t>
            </w: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公共交通的改善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</w:t>
            </w:r>
            <w:r>
              <w:rPr>
                <w:rFonts w:cs="Times New Roman" w:hint="eastAsia"/>
                <w:sz w:val="18"/>
                <w:szCs w:val="18"/>
              </w:rPr>
              <w:t>面向公交的</w:t>
            </w:r>
            <w:r w:rsidRPr="00E60ADA">
              <w:rPr>
                <w:rFonts w:cs="Times New Roman" w:hint="eastAsia"/>
                <w:sz w:val="18"/>
                <w:szCs w:val="18"/>
              </w:rPr>
              <w:t>土地利用（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）、集约化增长、改善非机动车交通、新型城市开发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包含：</w:t>
            </w:r>
            <w:r w:rsidRPr="00E60ADA">
              <w:rPr>
                <w:rFonts w:cs="Times New Roman" w:hint="eastAsia"/>
                <w:sz w:val="18"/>
                <w:szCs w:val="18"/>
              </w:rPr>
              <w:t>穿梭巴士服务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配合：</w:t>
            </w:r>
            <w:r w:rsidRPr="00E60ADA">
              <w:rPr>
                <w:rFonts w:cs="Times New Roman" w:hint="eastAsia"/>
                <w:sz w:val="18"/>
                <w:szCs w:val="18"/>
              </w:rPr>
              <w:t>通勤财政鼓励、按里程收费、停车收费、道路收费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竞争：</w:t>
            </w:r>
            <w:r w:rsidRPr="00E60ADA">
              <w:rPr>
                <w:rFonts w:cs="Times New Roman" w:hint="eastAsia"/>
                <w:sz w:val="18"/>
                <w:szCs w:val="18"/>
              </w:rPr>
              <w:t>合乘车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与其他相关规划相结合，更有效的进行土地利用，运用价格优惠等措施增强吸引力，考虑弱势群体，提高竞争力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改善非机动车交通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交通宁静、解决安全问题、自行车</w:t>
            </w:r>
            <w:r w:rsidRPr="00E60ADA">
              <w:rPr>
                <w:rFonts w:cs="Times New Roman" w:hint="eastAsia"/>
                <w:sz w:val="18"/>
                <w:szCs w:val="18"/>
              </w:rPr>
              <w:t>/</w:t>
            </w:r>
            <w:r w:rsidRPr="00E60ADA">
              <w:rPr>
                <w:rFonts w:cs="Times New Roman" w:hint="eastAsia"/>
                <w:sz w:val="18"/>
                <w:szCs w:val="18"/>
              </w:rPr>
              <w:t>公交一体化、新型城市开发、集约化增长、</w:t>
            </w:r>
            <w:r>
              <w:rPr>
                <w:rFonts w:cs="Times New Roman" w:hint="eastAsia"/>
                <w:sz w:val="18"/>
                <w:szCs w:val="18"/>
              </w:rPr>
              <w:t>面向公交的</w:t>
            </w:r>
            <w:r w:rsidRPr="00E60ADA">
              <w:rPr>
                <w:rFonts w:cs="Times New Roman" w:hint="eastAsia"/>
                <w:sz w:val="18"/>
                <w:szCs w:val="18"/>
              </w:rPr>
              <w:t>土地利用（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）、最小成本规划、机构改革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支持：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、公共交通的改善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要与交通和土地规划相结合，提高道路交通安全性，建立非机动车商业区和社区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高承载率车辆（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）优先、减少通勤交通、停车管理、通勤财政鼓励、可变工作时间、改善非机动车交通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竞争：</w:t>
            </w:r>
            <w:r w:rsidRPr="00E60ADA">
              <w:rPr>
                <w:rFonts w:cs="Times New Roman" w:hint="eastAsia"/>
                <w:sz w:val="18"/>
                <w:szCs w:val="18"/>
              </w:rPr>
              <w:t>公共交通、非机动车交通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线网尽可能覆盖所有区域，增加服务范围，加强相关机构和单位的参与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可变工作时间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配合：</w:t>
            </w:r>
            <w:r w:rsidRPr="00E60ADA">
              <w:rPr>
                <w:rFonts w:cs="Times New Roman" w:hint="eastAsia"/>
                <w:sz w:val="18"/>
                <w:szCs w:val="18"/>
              </w:rPr>
              <w:t>远程办公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、公交通的使用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拥挤收费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政府指导、各单位及员工参与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合乘车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bookmarkStart w:id="1" w:name="RANGE!C14"/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公共交通的改善、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、改善非机动车交通、</w:t>
            </w:r>
            <w:r>
              <w:rPr>
                <w:rFonts w:cs="Times New Roman" w:hint="eastAsia"/>
                <w:sz w:val="18"/>
                <w:szCs w:val="18"/>
              </w:rPr>
              <w:t>面向公交的</w:t>
            </w:r>
            <w:r w:rsidRPr="00E60ADA">
              <w:rPr>
                <w:rFonts w:cs="Times New Roman" w:hint="eastAsia"/>
                <w:sz w:val="18"/>
                <w:szCs w:val="18"/>
              </w:rPr>
              <w:t>土地利用（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）、土地高效利用、无车计划、改善出租车条件、校园交通管理、停车管理</w:t>
            </w:r>
            <w:bookmarkEnd w:id="1"/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由员工自己组织或由工作单位组织车辆供员工上下班通勤使用。需要提前进行宣传；大的合乘计划中使用计算机系统进行合乘人员的组合，考虑每个通勤者的出发点、目的地和特殊的需求。小的项目只是人工进行组合，或者使搭乘信息板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远程办公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减少通勤交通、通勤财政鼓励、停车收费、道路收费、停车管理、按里程收费、提高燃油税费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需雇主和管理人员、雇员，以及政府一起来制定合适的网络办公政策和实践方式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改善出租车条件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减少通勤交通、旅游交通管理、校园交通管理</w:t>
            </w:r>
          </w:p>
          <w:p w:rsidR="00CF5A5C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穿梭巴士服务、公共交通改善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监管改革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将出租车作为交通系统的重要组成部分，改善出租车条件，允许出租车合乘，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自行车</w:t>
            </w:r>
            <w:r w:rsidRPr="00E60ADA">
              <w:rPr>
                <w:rFonts w:cs="Times New Roman"/>
                <w:sz w:val="18"/>
                <w:szCs w:val="18"/>
              </w:rPr>
              <w:t>/</w:t>
            </w:r>
            <w:r w:rsidRPr="00E60ADA">
              <w:rPr>
                <w:rFonts w:cs="Times New Roman" w:hint="eastAsia"/>
                <w:sz w:val="18"/>
                <w:szCs w:val="18"/>
              </w:rPr>
              <w:t>公交一体化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改善非机动车交通、公共交通改善、穿梭巴士服务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>
              <w:rPr>
                <w:rFonts w:cs="Times New Roman" w:hint="eastAsia"/>
                <w:sz w:val="18"/>
                <w:szCs w:val="18"/>
              </w:rPr>
              <w:t>面向公交的</w:t>
            </w:r>
            <w:r w:rsidRPr="00E60ADA">
              <w:rPr>
                <w:rFonts w:cs="Times New Roman" w:hint="eastAsia"/>
                <w:sz w:val="18"/>
                <w:szCs w:val="18"/>
              </w:rPr>
              <w:t>土地利用（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）、减少通勤交通、校园内部交通管理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自行车与运行线路的组合通常由政府部门来执行。需要安全和有利于自行车交通的环境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快速公交系统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改善公共交通、高承载率车辆（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）优先、减少通勤交通、</w:t>
            </w:r>
            <w:r>
              <w:rPr>
                <w:rFonts w:cs="Times New Roman" w:hint="eastAsia"/>
                <w:sz w:val="18"/>
                <w:szCs w:val="18"/>
              </w:rPr>
              <w:t>面向公交的</w:t>
            </w:r>
            <w:r w:rsidRPr="00E60ADA">
              <w:rPr>
                <w:rFonts w:cs="Times New Roman" w:hint="eastAsia"/>
                <w:sz w:val="18"/>
                <w:szCs w:val="18"/>
              </w:rPr>
              <w:t>土地利用（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）、停车管理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替代：</w:t>
            </w:r>
            <w:r w:rsidRPr="00E60ADA">
              <w:rPr>
                <w:rFonts w:cs="Times New Roman" w:hint="eastAsia"/>
                <w:sz w:val="18"/>
                <w:szCs w:val="18"/>
              </w:rPr>
              <w:t>轻轨交通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能够提供高质量的服务质量，确保行人和乘客的安全舒适，提供与其他交通方式及土地使用相配合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穿梭巴士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交通需求管理计划、停车管理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减少通勤交通、校园交通管理、改善公共交通、高承载率车辆（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）优先、特殊事件交通管理、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应当考虑特殊事件及产生交通拥挤时的相关服务，积极进行相关的体制改革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轻轨交通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</w:t>
            </w:r>
            <w:r>
              <w:rPr>
                <w:rFonts w:cs="Times New Roman" w:hint="eastAsia"/>
                <w:sz w:val="18"/>
                <w:szCs w:val="18"/>
              </w:rPr>
              <w:t>面向公交的</w:t>
            </w:r>
            <w:r w:rsidRPr="00E60ADA">
              <w:rPr>
                <w:rFonts w:cs="Times New Roman" w:hint="eastAsia"/>
                <w:sz w:val="18"/>
                <w:szCs w:val="18"/>
              </w:rPr>
              <w:t>土地使用（</w:t>
            </w:r>
            <w:r w:rsidRPr="00E60ADA">
              <w:rPr>
                <w:rFonts w:cs="Times New Roman" w:hint="eastAsia"/>
                <w:sz w:val="18"/>
                <w:szCs w:val="18"/>
              </w:rPr>
              <w:t>TOD</w:t>
            </w:r>
            <w:r w:rsidRPr="00E60ADA">
              <w:rPr>
                <w:rFonts w:cs="Times New Roman" w:hint="eastAsia"/>
                <w:sz w:val="18"/>
                <w:szCs w:val="18"/>
              </w:rPr>
              <w:t>）、可持续增长、非机动车运输规划、新兴城</w:t>
            </w:r>
            <w:r w:rsidRPr="00E60ADA">
              <w:rPr>
                <w:rFonts w:cs="Times New Roman" w:hint="eastAsia"/>
                <w:sz w:val="18"/>
                <w:szCs w:val="18"/>
              </w:rPr>
              <w:lastRenderedPageBreak/>
              <w:t>市开发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促进：</w:t>
            </w:r>
            <w:r w:rsidRPr="00E60ADA">
              <w:rPr>
                <w:rFonts w:cs="Times New Roman" w:hint="eastAsia"/>
                <w:sz w:val="18"/>
                <w:szCs w:val="18"/>
              </w:rPr>
              <w:t>通勤财政激励、停车收费、道路收费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竞争：</w:t>
            </w:r>
            <w:r w:rsidRPr="00E60ADA">
              <w:rPr>
                <w:rFonts w:cs="Times New Roman" w:hint="eastAsia"/>
                <w:sz w:val="18"/>
                <w:szCs w:val="18"/>
              </w:rPr>
              <w:t>快速公交系统、合乘车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lastRenderedPageBreak/>
              <w:t>政府和专业机构需要提供相应的支持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高承载率车辆（</w:t>
            </w:r>
            <w:r w:rsidRPr="00E60ADA">
              <w:rPr>
                <w:rFonts w:cs="Times New Roman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）优先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bookmarkStart w:id="2" w:name="RANGE!C21"/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减少通勤交通、停车管理、停车换乘</w:t>
            </w:r>
            <w:bookmarkEnd w:id="2"/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新建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道路来实施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优先，也可利用现有车道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 w:val="restart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鼓励替代交通方式</w:t>
            </w: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鼓励非机动车交通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密切相关：</w:t>
            </w:r>
            <w:r w:rsidRPr="00E60ADA">
              <w:rPr>
                <w:rFonts w:cs="Times New Roman" w:hint="eastAsia"/>
                <w:sz w:val="18"/>
                <w:szCs w:val="18"/>
              </w:rPr>
              <w:t>非机动车交通规划、非机动车设施管理、公共自行车系统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减少通勤交通、学校周边交通管理、大学校园内部交通管理、其他减少机动车出行的策略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地区政府、个体商业来协作实施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提高燃油税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综合市场改革、货运交通管理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替代：</w:t>
            </w:r>
            <w:r w:rsidRPr="00E60ADA">
              <w:rPr>
                <w:rFonts w:cs="Times New Roman" w:hint="eastAsia"/>
                <w:sz w:val="18"/>
                <w:szCs w:val="18"/>
              </w:rPr>
              <w:t>道路收费、按里程收费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由政府定价实施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通勤财政激励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减少通勤交通、大学校园内部交通管理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改善公共交通、合乘车、改善非机动车交通、集约化增长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由政府指导，员工和其他工作单位实施，需要严格的监督制度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道路收费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公共交通改善、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、停车管理、减少通勤交通、停车换乘、可变工作时间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机构改革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运输市场化改革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收费站或当地运输管理部门来执行，执行前须经过政府部门的批准。在道路和区域严重拥挤的区域进行实施，拥挤收费路段及区域周围具有良好的公共交通替代方式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按里程收费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包含：</w:t>
            </w:r>
            <w:r w:rsidRPr="00E60ADA">
              <w:rPr>
                <w:rFonts w:cs="Times New Roman" w:hint="eastAsia"/>
                <w:sz w:val="18"/>
                <w:szCs w:val="18"/>
              </w:rPr>
              <w:t>道路收费、燃油税费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、公共交通改善、改善非机动车交通、远程办公、集约化增长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运输市场化改革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根据里程收费（注册费，购置税，按距离收费，排放费等）将通过政府立法来实施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停车收费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减少通勤交通、校园交通管理、集约化增长、新型城市开发、土地高效利用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改善公共交通、停车换乘、穿梭巴士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由当地政府进行指导，由交管部门和私人企业实施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减少通勤交通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rPr>
                <w:sz w:val="18"/>
                <w:szCs w:val="18"/>
              </w:rPr>
            </w:pPr>
            <w:r w:rsidRPr="00E60ADA">
              <w:rPr>
                <w:rFonts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hint="eastAsia"/>
                <w:sz w:val="18"/>
                <w:szCs w:val="18"/>
              </w:rPr>
              <w:t>停车收费、停车管理、通勤财政激励、改善公共交通、</w:t>
            </w:r>
            <w:proofErr w:type="gramStart"/>
            <w:r w:rsidRPr="00E60ADA">
              <w:rPr>
                <w:rFonts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hint="eastAsia"/>
                <w:sz w:val="18"/>
                <w:szCs w:val="18"/>
              </w:rPr>
              <w:t>、合乘车、改善非机动车交通、集约化增长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增加激励措施，保证措施的多样性和灵活性，协调好各个单位之间的关系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道路空间再分配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合乘车、高承载率车辆（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）优先、货运交通管理、交通安宁、旅游交通管理、改善公共交通、新兴城市开发、可持续增长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出入口管理、综合交通规划、制度改革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建立明确的道路空间分配原则，对高效率的交通方式给予优先通行权。在高峰期间进行灵活的道路空间分配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限制小汽车使用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无车计划、改善公共交通、交通安宁、可持续增长、高效土地利用、减少通勤交通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执行过程中应当紧密结合城市发展规划，并且注意相关替代交通方式的配合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 w:val="restart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政策与机构改革</w:t>
            </w: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变动管理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（</w:t>
            </w:r>
            <w:r w:rsidRPr="00E60ADA">
              <w:rPr>
                <w:rFonts w:cs="Times New Roman"/>
                <w:sz w:val="18"/>
                <w:szCs w:val="18"/>
              </w:rPr>
              <w:t>Change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/>
                <w:sz w:val="18"/>
                <w:szCs w:val="18"/>
              </w:rPr>
              <w:t xml:space="preserve"> Management</w:t>
            </w:r>
            <w:r w:rsidRPr="00E60ADA">
              <w:rPr>
                <w:rFonts w:cs="Times New Roman" w:hint="eastAsia"/>
                <w:sz w:val="18"/>
                <w:szCs w:val="18"/>
              </w:rPr>
              <w:t>）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最低成本规划、规章制度的改革、市场改革、机构改革、减少通勤交通计划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建立一种支持创新和承担适当风险的工作氛围，明确最终目标、阶段性目标和业绩指标，建立一个团队来执行变动管理，对利益相关者进行新政策和新计划的宣传、教育，接受变动管理中可能出现的风险，明确交通需求管理对不同的利益群体的益处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全面的市场改革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包含：</w:t>
            </w:r>
            <w:r w:rsidRPr="00E60ADA">
              <w:rPr>
                <w:rFonts w:cs="Times New Roman" w:hint="eastAsia"/>
                <w:sz w:val="18"/>
                <w:szCs w:val="18"/>
              </w:rPr>
              <w:t>增加燃油税费、按里程收费、道路收费、停车收费、机构改革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具有可预见性和渐进性，并根据市场进行调节，考虑各种价格改革，考虑多种效益：经济发展、交通改善、环境保护等，考虑公平问题，有利于改善出行者的出行选择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机构改革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大多数</w:t>
            </w: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政策和计划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最小成本规划、变动管理、规章制度的改革、市场改革、</w:t>
            </w: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计划、减少通勤交通计划、应急规划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建立一个多模式、区域交通规划和筹资的体制框架。应用最小成本规划的原则，进行合理投资。为替代出行方式和</w:t>
            </w:r>
            <w:r w:rsidRPr="00E60ADA">
              <w:rPr>
                <w:rFonts w:cs="Times New Roman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策略，建立更有效的建模、评价方法。在交通运输部门内部建立交通需求管理计划。广泛定义交通改善的目标，为交通问题考虑一系列解决方案。更多考虑交通的可达性而非移动性，考虑各种社会成本。对交通运输机构的员工进行培训。鼓励创新的运输计划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最低成本规划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大多数</w:t>
            </w: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策略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密切相关：</w:t>
            </w:r>
            <w:r w:rsidRPr="00E60ADA">
              <w:rPr>
                <w:rFonts w:cs="Times New Roman" w:hint="eastAsia"/>
                <w:sz w:val="18"/>
                <w:szCs w:val="18"/>
              </w:rPr>
              <w:t>机构改革、综合交通规划、优先运输、交通运营、</w:t>
            </w: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计划、变动管理、应急规划、全面的市场改革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建立综合运输的模拟和评价技术，预测出行用户的需求。定义满足用户运输需求的交通目标。制定一个运输服务的完整列表，制定一个可选择交通方式的行动计划。评价实施结果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运营和管理计划</w:t>
            </w:r>
          </w:p>
        </w:tc>
        <w:tc>
          <w:tcPr>
            <w:tcW w:w="42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可变工作时间、减少通勤交通、通勤财政激励、弹性工作制支持、货运管理、智能交通系统、停车管理、非机动交通改善、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、穿梭巴士服务、特殊事件交通管理、交通需求管理的营销、远程工作、完善公共交通、交通通道指南、最低成本规划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应当支持广泛的管理策略。实现减少拥挤、保障安全等目标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优先运输政策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可替代出行方式（公共交通、拼车、自行车、步行、</w:t>
            </w:r>
            <w:r w:rsidRPr="00E60ADA">
              <w:rPr>
                <w:rFonts w:cs="Times New Roman" w:hint="eastAsia"/>
                <w:sz w:val="18"/>
                <w:szCs w:val="18"/>
              </w:rPr>
              <w:t>HOV</w:t>
            </w:r>
            <w:r w:rsidRPr="00E60ADA">
              <w:rPr>
                <w:rFonts w:cs="Times New Roman" w:hint="eastAsia"/>
                <w:sz w:val="18"/>
                <w:szCs w:val="18"/>
              </w:rPr>
              <w:t>优先、出租车），</w:t>
            </w: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计划（道路空间重新分配、货运管理、交通宁静、停车管理、进出口管理、旅游管理）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属于：</w:t>
            </w:r>
            <w:r w:rsidRPr="00E60ADA">
              <w:rPr>
                <w:rFonts w:cs="Times New Roman" w:hint="eastAsia"/>
                <w:sz w:val="18"/>
                <w:szCs w:val="18"/>
              </w:rPr>
              <w:t>应急规划、特殊事件规划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被支持：</w:t>
            </w:r>
            <w:r w:rsidRPr="00E60ADA">
              <w:rPr>
                <w:rFonts w:cs="Times New Roman" w:hint="eastAsia"/>
                <w:sz w:val="18"/>
                <w:szCs w:val="18"/>
              </w:rPr>
              <w:t>综合交通规划、机构改革、最小成本规划、环境敏感设计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建立明确的优先运输的原则，考虑不同类型运输活动的社会成本和社会效益。让利益相关者都参与到运输优先政策的规划和实施的过程中。给予高效益低成本的运输方式更高的优先权。灵活发展运输优先策略</w:t>
            </w:r>
          </w:p>
        </w:tc>
      </w:tr>
      <w:tr w:rsidR="00CF5A5C" w:rsidRPr="00E60ADA" w:rsidTr="00CF5A5C">
        <w:trPr>
          <w:jc w:val="center"/>
        </w:trPr>
        <w:tc>
          <w:tcPr>
            <w:tcW w:w="426" w:type="dxa"/>
            <w:vMerge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规章制度的改革</w:t>
            </w:r>
          </w:p>
        </w:tc>
        <w:tc>
          <w:tcPr>
            <w:tcW w:w="4275" w:type="dxa"/>
            <w:shd w:val="clear" w:color="auto" w:fill="auto"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相互支持：</w:t>
            </w:r>
            <w:r w:rsidRPr="00E60ADA">
              <w:rPr>
                <w:rFonts w:cs="Times New Roman" w:hint="eastAsia"/>
                <w:sz w:val="18"/>
                <w:szCs w:val="18"/>
              </w:rPr>
              <w:t>机构改革、</w:t>
            </w:r>
            <w:r w:rsidRPr="00E60ADA">
              <w:rPr>
                <w:rFonts w:cs="Times New Roman" w:hint="eastAsia"/>
                <w:sz w:val="18"/>
                <w:szCs w:val="18"/>
              </w:rPr>
              <w:t>TDM</w:t>
            </w:r>
            <w:r w:rsidRPr="00E60ADA">
              <w:rPr>
                <w:rFonts w:cs="Times New Roman" w:hint="eastAsia"/>
                <w:sz w:val="18"/>
                <w:szCs w:val="18"/>
              </w:rPr>
              <w:t>计划、市场改革、集约化增长、最低成本规划</w:t>
            </w:r>
          </w:p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b/>
                <w:sz w:val="18"/>
                <w:szCs w:val="18"/>
              </w:rPr>
              <w:t>支持：</w:t>
            </w:r>
            <w:r w:rsidRPr="00E60ADA">
              <w:rPr>
                <w:rFonts w:cs="Times New Roman" w:hint="eastAsia"/>
                <w:sz w:val="18"/>
                <w:szCs w:val="18"/>
              </w:rPr>
              <w:t>出租车完善、完善公共交通、穿梭巴士服务、</w:t>
            </w:r>
            <w:proofErr w:type="gramStart"/>
            <w:r w:rsidRPr="00E60ADA">
              <w:rPr>
                <w:rFonts w:cs="Times New Roman" w:hint="eastAsia"/>
                <w:sz w:val="18"/>
                <w:szCs w:val="18"/>
              </w:rPr>
              <w:t>拼车计划</w:t>
            </w:r>
            <w:proofErr w:type="gramEnd"/>
            <w:r w:rsidRPr="00E60ADA">
              <w:rPr>
                <w:rFonts w:cs="Times New Roman" w:hint="eastAsia"/>
                <w:sz w:val="18"/>
                <w:szCs w:val="18"/>
              </w:rPr>
              <w:t>、减少通勤交通、旅游交通管理、大学校园交通管理</w:t>
            </w:r>
          </w:p>
        </w:tc>
        <w:tc>
          <w:tcPr>
            <w:tcW w:w="3675" w:type="dxa"/>
            <w:shd w:val="clear" w:color="auto" w:fill="auto"/>
            <w:noWrap/>
            <w:vAlign w:val="center"/>
          </w:tcPr>
          <w:p w:rsidR="00CF5A5C" w:rsidRPr="00E60ADA" w:rsidRDefault="00CF5A5C" w:rsidP="004B49A0">
            <w:pPr>
              <w:pStyle w:val="a5"/>
              <w:spacing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E60ADA">
              <w:rPr>
                <w:rFonts w:cs="Times New Roman" w:hint="eastAsia"/>
                <w:sz w:val="18"/>
                <w:szCs w:val="18"/>
              </w:rPr>
              <w:t>规章制度的改革在保证运输服务质量的基础上，鼓励竞争和创新。考虑企业和用户的利益</w:t>
            </w:r>
          </w:p>
        </w:tc>
      </w:tr>
    </w:tbl>
    <w:p w:rsidR="00CF5A5C" w:rsidRPr="00CF5A5C" w:rsidRDefault="00CF5A5C"/>
    <w:sectPr w:rsidR="00CF5A5C" w:rsidRPr="00CF5A5C" w:rsidSect="00BC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1FA" w:rsidRDefault="00F931FA" w:rsidP="009D7D67">
      <w:r>
        <w:separator/>
      </w:r>
    </w:p>
  </w:endnote>
  <w:endnote w:type="continuationSeparator" w:id="0">
    <w:p w:rsidR="00F931FA" w:rsidRDefault="00F931FA" w:rsidP="009D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1FA" w:rsidRDefault="00F931FA" w:rsidP="009D7D67">
      <w:r>
        <w:separator/>
      </w:r>
    </w:p>
  </w:footnote>
  <w:footnote w:type="continuationSeparator" w:id="0">
    <w:p w:rsidR="00F931FA" w:rsidRDefault="00F931FA" w:rsidP="009D7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B25EA"/>
    <w:multiLevelType w:val="hybridMultilevel"/>
    <w:tmpl w:val="88E41142"/>
    <w:lvl w:ilvl="0" w:tplc="BA76C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A01B84"/>
    <w:multiLevelType w:val="hybridMultilevel"/>
    <w:tmpl w:val="D73E0A86"/>
    <w:lvl w:ilvl="0" w:tplc="163A1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D78A">
      <w:start w:val="23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45B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4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AF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8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F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4C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0DA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5216"/>
    <w:multiLevelType w:val="hybridMultilevel"/>
    <w:tmpl w:val="CA4A2874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EF"/>
    <w:rsid w:val="000172A7"/>
    <w:rsid w:val="00040FE8"/>
    <w:rsid w:val="000A049A"/>
    <w:rsid w:val="00202F7C"/>
    <w:rsid w:val="00243AD2"/>
    <w:rsid w:val="002C5A6F"/>
    <w:rsid w:val="005006A7"/>
    <w:rsid w:val="005D6893"/>
    <w:rsid w:val="00696DBF"/>
    <w:rsid w:val="006A3A41"/>
    <w:rsid w:val="0071732F"/>
    <w:rsid w:val="00851F09"/>
    <w:rsid w:val="00885C81"/>
    <w:rsid w:val="00895D08"/>
    <w:rsid w:val="00972311"/>
    <w:rsid w:val="009D7D67"/>
    <w:rsid w:val="00A949C6"/>
    <w:rsid w:val="00AA08E2"/>
    <w:rsid w:val="00AB3B79"/>
    <w:rsid w:val="00AC5F33"/>
    <w:rsid w:val="00AE7D58"/>
    <w:rsid w:val="00B33D4E"/>
    <w:rsid w:val="00B836B7"/>
    <w:rsid w:val="00BA2FEF"/>
    <w:rsid w:val="00BC2002"/>
    <w:rsid w:val="00C54C10"/>
    <w:rsid w:val="00CB4FC4"/>
    <w:rsid w:val="00CF5A5C"/>
    <w:rsid w:val="00D54225"/>
    <w:rsid w:val="00DB0A99"/>
    <w:rsid w:val="00DC4AF3"/>
    <w:rsid w:val="00E737A0"/>
    <w:rsid w:val="00F93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0A83AA-BA06-418C-B6A6-68EA18F3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F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A2FEF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A2FEF"/>
    <w:rPr>
      <w:rFonts w:ascii="宋体" w:eastAsia="宋体" w:hAnsi="Calibri" w:cs="Times New Roman"/>
      <w:sz w:val="18"/>
      <w:szCs w:val="18"/>
    </w:rPr>
  </w:style>
  <w:style w:type="paragraph" w:customStyle="1" w:styleId="a5">
    <w:name w:val="图表"/>
    <w:basedOn w:val="a"/>
    <w:next w:val="a"/>
    <w:rsid w:val="00CF5A5C"/>
    <w:pPr>
      <w:spacing w:line="300" w:lineRule="auto"/>
      <w:jc w:val="center"/>
    </w:pPr>
    <w:rPr>
      <w:rFonts w:ascii="Times New Roman" w:hAnsi="Times New Roman" w:cs="宋体"/>
      <w:szCs w:val="21"/>
    </w:rPr>
  </w:style>
  <w:style w:type="paragraph" w:customStyle="1" w:styleId="a6">
    <w:name w:val="图表标题"/>
    <w:basedOn w:val="a7"/>
    <w:rsid w:val="00CF5A5C"/>
    <w:pPr>
      <w:spacing w:line="300" w:lineRule="auto"/>
      <w:ind w:leftChars="0" w:left="0" w:firstLineChars="0" w:firstLine="0"/>
      <w:jc w:val="center"/>
    </w:pPr>
    <w:rPr>
      <w:rFonts w:ascii="Times New Roman" w:eastAsia="黑体" w:hAnsi="Times New Roman"/>
      <w:szCs w:val="21"/>
    </w:rPr>
  </w:style>
  <w:style w:type="paragraph" w:styleId="a7">
    <w:name w:val="table of figures"/>
    <w:basedOn w:val="a"/>
    <w:next w:val="a"/>
    <w:uiPriority w:val="99"/>
    <w:semiHidden/>
    <w:unhideWhenUsed/>
    <w:rsid w:val="00CF5A5C"/>
    <w:pPr>
      <w:ind w:leftChars="200" w:left="200" w:hangingChars="200" w:hanging="200"/>
    </w:pPr>
  </w:style>
  <w:style w:type="paragraph" w:styleId="a8">
    <w:name w:val="header"/>
    <w:basedOn w:val="a"/>
    <w:link w:val="a9"/>
    <w:uiPriority w:val="99"/>
    <w:unhideWhenUsed/>
    <w:rsid w:val="009D7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D7D67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7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D7D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润 爷爷</cp:lastModifiedBy>
  <cp:revision>3</cp:revision>
  <dcterms:created xsi:type="dcterms:W3CDTF">2018-10-17T02:21:00Z</dcterms:created>
  <dcterms:modified xsi:type="dcterms:W3CDTF">2018-10-17T02:21:00Z</dcterms:modified>
</cp:coreProperties>
</file>