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4417" w:rsidRPr="000C4417" w:rsidRDefault="000C4417" w:rsidP="000C4417">
      <w:pPr>
        <w:tabs>
          <w:tab w:val="left" w:pos="2430"/>
        </w:tabs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2.3、面向TOD的评价方法</w:t>
      </w:r>
    </w:p>
    <w:p w:rsidR="000C4417" w:rsidRDefault="000C4417" w:rsidP="000C4417">
      <w:pPr>
        <w:autoSpaceDE w:val="0"/>
        <w:autoSpaceDN w:val="0"/>
        <w:adjustRightInd w:val="0"/>
        <w:jc w:val="left"/>
        <w:rPr>
          <w:sz w:val="28"/>
          <w:szCs w:val="28"/>
        </w:rPr>
      </w:pPr>
      <w:r w:rsidRPr="000C4417">
        <w:rPr>
          <w:sz w:val="28"/>
          <w:szCs w:val="28"/>
        </w:rPr>
        <w:t>[1]何韶瑶,黄慧,李夺.公交导向型社区规划模式评价研究——以长沙市梅溪湖新城为例[J].湘潭大学自然科学学报,2016,38(02):33-37.</w:t>
      </w:r>
    </w:p>
    <w:p w:rsidR="000C4417" w:rsidRDefault="000C4417" w:rsidP="000C4417">
      <w:pPr>
        <w:autoSpaceDE w:val="0"/>
        <w:autoSpaceDN w:val="0"/>
        <w:adjustRightInd w:val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3.1、TOD的适应条件</w:t>
      </w:r>
    </w:p>
    <w:p w:rsidR="00E27624" w:rsidRDefault="00E27624" w:rsidP="000C4417">
      <w:pPr>
        <w:autoSpaceDE w:val="0"/>
        <w:autoSpaceDN w:val="0"/>
        <w:adjustRightInd w:val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[</w:t>
      </w:r>
      <w:r>
        <w:rPr>
          <w:sz w:val="28"/>
          <w:szCs w:val="28"/>
        </w:rPr>
        <w:t>1]</w:t>
      </w:r>
      <w:r w:rsidRPr="00E27624">
        <w:rPr>
          <w:sz w:val="28"/>
          <w:szCs w:val="28"/>
        </w:rPr>
        <w:t>https://mp.weixin.qq.com/s/MXlsriTm8W-boLrrg_BH9g</w:t>
      </w:r>
    </w:p>
    <w:p w:rsidR="00E27624" w:rsidRPr="00E27624" w:rsidRDefault="000C4417" w:rsidP="00E27624">
      <w:pPr>
        <w:autoSpaceDE w:val="0"/>
        <w:autoSpaceDN w:val="0"/>
        <w:adjustRightInd w:val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3.2、实施关键因素</w:t>
      </w:r>
    </w:p>
    <w:p w:rsidR="00E27624" w:rsidRDefault="00E27624" w:rsidP="00E27624">
      <w:pPr>
        <w:autoSpaceDE w:val="0"/>
        <w:autoSpaceDN w:val="0"/>
        <w:adjustRightInd w:val="0"/>
        <w:jc w:val="left"/>
        <w:rPr>
          <w:rFonts w:hint="eastAsia"/>
          <w:sz w:val="28"/>
          <w:szCs w:val="28"/>
        </w:rPr>
      </w:pPr>
      <w:r w:rsidRPr="00E27624">
        <w:rPr>
          <w:sz w:val="28"/>
          <w:szCs w:val="28"/>
        </w:rPr>
        <w:t>[1]陈莎,殷广涛,叶敏.TOD内涵分析及实施框架[J].城市交通,2008,6(06):57-63.</w:t>
      </w:r>
    </w:p>
    <w:p w:rsidR="00E27624" w:rsidRPr="00E27624" w:rsidRDefault="00E27624" w:rsidP="00E27624">
      <w:pPr>
        <w:autoSpaceDE w:val="0"/>
        <w:autoSpaceDN w:val="0"/>
        <w:adjustRightInd w:val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3.3、TOD实施原则</w:t>
      </w:r>
    </w:p>
    <w:p w:rsidR="00E27624" w:rsidRDefault="00E27624" w:rsidP="00E27624">
      <w:pPr>
        <w:autoSpaceDE w:val="0"/>
        <w:autoSpaceDN w:val="0"/>
        <w:adjustRightInd w:val="0"/>
        <w:jc w:val="left"/>
        <w:rPr>
          <w:rFonts w:hint="eastAsia"/>
          <w:sz w:val="28"/>
          <w:szCs w:val="28"/>
        </w:rPr>
      </w:pPr>
      <w:r w:rsidRPr="00E27624">
        <w:rPr>
          <w:sz w:val="28"/>
          <w:szCs w:val="28"/>
        </w:rPr>
        <w:t>[1]王永杰.成都市郫都区TOD模式可实施性探究[J].四川建筑,2018,38(03):56-57+60.</w:t>
      </w:r>
    </w:p>
    <w:p w:rsidR="000C4417" w:rsidRDefault="000C4417" w:rsidP="000C4417">
      <w:pPr>
        <w:autoSpaceDE w:val="0"/>
        <w:autoSpaceDN w:val="0"/>
        <w:adjustRightInd w:val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、香港</w:t>
      </w:r>
    </w:p>
    <w:p w:rsidR="000C4417" w:rsidRPr="00E27624" w:rsidRDefault="00E27624" w:rsidP="000C4417">
      <w:pPr>
        <w:autoSpaceDE w:val="0"/>
        <w:autoSpaceDN w:val="0"/>
        <w:adjustRightInd w:val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[</w:t>
      </w:r>
      <w:r>
        <w:rPr>
          <w:sz w:val="28"/>
          <w:szCs w:val="28"/>
        </w:rPr>
        <w:t>1]</w:t>
      </w:r>
      <w:r w:rsidRPr="00E27624">
        <w:rPr>
          <w:sz w:val="28"/>
          <w:szCs w:val="28"/>
        </w:rPr>
        <w:t>https://mp.weixin.qq.com/s/MXlsriTm8W-boLrrg_BH9g</w:t>
      </w:r>
    </w:p>
    <w:p w:rsidR="000C4417" w:rsidRPr="000C4417" w:rsidRDefault="000C4417" w:rsidP="000C4417">
      <w:pPr>
        <w:autoSpaceDE w:val="0"/>
        <w:autoSpaceDN w:val="0"/>
        <w:adjustRightInd w:val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5、启发和建议</w:t>
      </w:r>
    </w:p>
    <w:p w:rsidR="00E27624" w:rsidRDefault="000C4417" w:rsidP="000C4417">
      <w:pPr>
        <w:autoSpaceDE w:val="0"/>
        <w:autoSpaceDN w:val="0"/>
        <w:adjustRightInd w:val="0"/>
        <w:jc w:val="left"/>
        <w:rPr>
          <w:sz w:val="28"/>
          <w:szCs w:val="28"/>
        </w:rPr>
      </w:pPr>
      <w:r w:rsidRPr="000C4417">
        <w:rPr>
          <w:sz w:val="28"/>
          <w:szCs w:val="28"/>
        </w:rPr>
        <w:t>[1]马交国,孙海军,刘清春,刘靖.新城市主义引导下区域性综合交通枢纽规划实践审视——以济南新东站TOD规划设计为例[J].科学与管理,2018,38(04):61-65.</w:t>
      </w:r>
    </w:p>
    <w:p w:rsidR="00E27624" w:rsidRDefault="00E27624" w:rsidP="000C4417">
      <w:pPr>
        <w:autoSpaceDE w:val="0"/>
        <w:autoSpaceDN w:val="0"/>
        <w:adjustRightInd w:val="0"/>
        <w:jc w:val="left"/>
        <w:rPr>
          <w:sz w:val="28"/>
          <w:szCs w:val="28"/>
        </w:rPr>
      </w:pPr>
    </w:p>
    <w:p w:rsidR="00E27624" w:rsidRDefault="00E27624" w:rsidP="000C4417">
      <w:pPr>
        <w:autoSpaceDE w:val="0"/>
        <w:autoSpaceDN w:val="0"/>
        <w:adjustRightInd w:val="0"/>
        <w:jc w:val="left"/>
        <w:rPr>
          <w:sz w:val="28"/>
          <w:szCs w:val="28"/>
        </w:rPr>
      </w:pPr>
    </w:p>
    <w:p w:rsidR="00E27624" w:rsidRDefault="00E27624" w:rsidP="000C4417">
      <w:pPr>
        <w:autoSpaceDE w:val="0"/>
        <w:autoSpaceDN w:val="0"/>
        <w:adjustRightInd w:val="0"/>
        <w:jc w:val="left"/>
        <w:rPr>
          <w:sz w:val="28"/>
          <w:szCs w:val="28"/>
        </w:rPr>
      </w:pPr>
    </w:p>
    <w:p w:rsidR="00E27624" w:rsidRDefault="00E27624" w:rsidP="000C4417">
      <w:pPr>
        <w:autoSpaceDE w:val="0"/>
        <w:autoSpaceDN w:val="0"/>
        <w:adjustRightInd w:val="0"/>
        <w:jc w:val="left"/>
        <w:rPr>
          <w:sz w:val="28"/>
          <w:szCs w:val="28"/>
        </w:rPr>
      </w:pPr>
    </w:p>
    <w:p w:rsidR="00E27624" w:rsidRDefault="00E27624" w:rsidP="000C4417">
      <w:pPr>
        <w:autoSpaceDE w:val="0"/>
        <w:autoSpaceDN w:val="0"/>
        <w:adjustRightInd w:val="0"/>
        <w:jc w:val="left"/>
        <w:rPr>
          <w:sz w:val="28"/>
          <w:szCs w:val="28"/>
        </w:rPr>
      </w:pPr>
    </w:p>
    <w:p w:rsidR="00E27624" w:rsidRDefault="00E27624" w:rsidP="00F16A6F">
      <w:pPr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819525" cy="214198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468" cy="214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624" w:rsidRDefault="00E27624" w:rsidP="00E27624">
      <w:pPr>
        <w:autoSpaceDE w:val="0"/>
        <w:autoSpaceDN w:val="0"/>
        <w:adjustRightInd w:val="0"/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F16A6F">
        <w:rPr>
          <w:rFonts w:hint="eastAsia"/>
          <w:sz w:val="28"/>
          <w:szCs w:val="28"/>
        </w:rPr>
        <w:t>x-</w:t>
      </w:r>
      <w:r w:rsidR="00F16A6F">
        <w:rPr>
          <w:sz w:val="28"/>
          <w:szCs w:val="28"/>
        </w:rPr>
        <w:t xml:space="preserve">x </w:t>
      </w:r>
      <w:r w:rsidR="00F16A6F">
        <w:rPr>
          <w:rFonts w:hint="eastAsia"/>
          <w:sz w:val="28"/>
          <w:szCs w:val="28"/>
        </w:rPr>
        <w:t>香港交通概况</w:t>
      </w:r>
    </w:p>
    <w:p w:rsidR="00F16A6F" w:rsidRDefault="00E27624" w:rsidP="000C4417">
      <w:pPr>
        <w:autoSpaceDE w:val="0"/>
        <w:autoSpaceDN w:val="0"/>
        <w:adjustRightInd w:val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86325" cy="1980768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71" cy="198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6F" w:rsidRDefault="00F16A6F" w:rsidP="00F16A6F">
      <w:pPr>
        <w:autoSpaceDE w:val="0"/>
        <w:autoSpaceDN w:val="0"/>
        <w:adjustRightInd w:val="0"/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图x-</w:t>
      </w:r>
      <w:r>
        <w:rPr>
          <w:sz w:val="28"/>
          <w:szCs w:val="28"/>
        </w:rPr>
        <w:t xml:space="preserve">x </w:t>
      </w:r>
      <w:r>
        <w:rPr>
          <w:rFonts w:hint="eastAsia"/>
          <w:sz w:val="28"/>
          <w:szCs w:val="28"/>
        </w:rPr>
        <w:t>九龙站项目建设</w:t>
      </w:r>
    </w:p>
    <w:p w:rsidR="00F16A6F" w:rsidRDefault="00E27624" w:rsidP="00F16A6F">
      <w:pPr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86225" cy="2714639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222" cy="271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6F" w:rsidRDefault="00F16A6F" w:rsidP="00F16A6F">
      <w:pPr>
        <w:autoSpaceDE w:val="0"/>
        <w:autoSpaceDN w:val="0"/>
        <w:adjustRightInd w:val="0"/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图x-</w:t>
      </w:r>
      <w:r>
        <w:rPr>
          <w:sz w:val="28"/>
          <w:szCs w:val="28"/>
        </w:rPr>
        <w:t xml:space="preserve">x </w:t>
      </w:r>
      <w:r>
        <w:rPr>
          <w:rFonts w:hint="eastAsia"/>
          <w:sz w:val="28"/>
          <w:szCs w:val="28"/>
        </w:rPr>
        <w:t>九龙站项目周边用地规划</w:t>
      </w:r>
      <w:bookmarkStart w:id="0" w:name="_GoBack"/>
      <w:bookmarkEnd w:id="0"/>
    </w:p>
    <w:p w:rsidR="000C4417" w:rsidRPr="00E27624" w:rsidRDefault="000C4417" w:rsidP="00F16A6F">
      <w:pPr>
        <w:autoSpaceDE w:val="0"/>
        <w:autoSpaceDN w:val="0"/>
        <w:adjustRightInd w:val="0"/>
        <w:jc w:val="center"/>
        <w:rPr>
          <w:rFonts w:hint="eastAsia"/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ADDIN NE.Rep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fldChar w:fldCharType="end"/>
      </w:r>
    </w:p>
    <w:sectPr w:rsidR="000C4417" w:rsidRPr="00E276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1EA9" w:rsidRDefault="00361EA9" w:rsidP="000C4417">
      <w:r>
        <w:separator/>
      </w:r>
    </w:p>
  </w:endnote>
  <w:endnote w:type="continuationSeparator" w:id="0">
    <w:p w:rsidR="00361EA9" w:rsidRDefault="00361EA9" w:rsidP="000C44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1EA9" w:rsidRDefault="00361EA9" w:rsidP="000C4417">
      <w:r>
        <w:separator/>
      </w:r>
    </w:p>
  </w:footnote>
  <w:footnote w:type="continuationSeparator" w:id="0">
    <w:p w:rsidR="00361EA9" w:rsidRDefault="00361EA9" w:rsidP="000C44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NE.Ref{04033153-5D49-436B-A866-ADF203EF63F7}" w:val=" ADDIN NE.Ref.{04033153-5D49-436B-A866-ADF203EF63F7}&lt;Citation&gt;&lt;Group&gt;&lt;References&gt;&lt;Item&gt;&lt;ID&gt;2&lt;/ID&gt;&lt;UID&gt;{D9AE2D09-2BC7-4078-BB00-FB4777B764E3}&lt;/UID&gt;&lt;Title&gt;TOD规划的定量评价与反思——以广佛地铁线TOD站点为例&lt;/Title&gt;&lt;Template&gt;Conference Paper&lt;/Template&gt;&lt;Star&gt;1&lt;/Star&gt;&lt;Tag&gt;0&lt;/Tag&gt;&lt;Author&gt;梁雄飞&lt;/Author&gt;&lt;Year&gt;2015&lt;/Year&gt;&lt;Details&gt;&lt;_accessed&gt;62481042&lt;/_accessed&gt;&lt;_author_aff&gt;北京大学城市规划与设计学院;&lt;/_author_aff&gt;&lt;_created&gt;62481041&lt;/_created&gt;&lt;_db_provider&gt;CNKI: 中国会议&lt;/_db_provider&gt;&lt;_db_updated&gt;CNKI - Reference&lt;/_db_updated&gt;&lt;_keywords&gt;新城市主义;TOD;空间句法;功能混合度&lt;/_keywords&gt;&lt;_modified&gt;62482563&lt;/_modified&gt;&lt;_pages&gt;7&lt;/_pages&gt;&lt;_place_published&gt;中国贵州贵阳&lt;/_place_published&gt;&lt;_secondary_title&gt;2015中国城市规划年会&lt;/_secondary_title&gt;&lt;_tertiary_title&gt;新常态：传承与变革——2015中国城市规划年会论文集（05城市交通规划）&lt;/_tertiary_title&gt;&lt;_url&gt;http://kns.cnki.net/KCMS/detail/detail.aspx?FileName=ZHCG201509006054&amp;amp;DbName=CPFD2015&lt;/_url&gt;&lt;_translated_author&gt;Liang, Xiongfei&lt;/_translated_author&gt;&lt;/Details&gt;&lt;Extra&gt;&lt;DBUID&gt;{3A10237B-3519-4D2E-B7A4-CF9564EE5A9A}&lt;/DBUID&gt;&lt;/Extra&gt;&lt;/Item&gt;&lt;/References&gt;&lt;/Group&gt;&lt;/Citation&gt;_x000a_"/>
    <w:docVar w:name="ne_docsoft" w:val="MSWord"/>
    <w:docVar w:name="ne_docversion" w:val="NoteExpress 2.0"/>
    <w:docVar w:name="ne_stylename" w:val="Numbered(multilingual)"/>
  </w:docVars>
  <w:rsids>
    <w:rsidRoot w:val="00BC3E0A"/>
    <w:rsid w:val="000C4417"/>
    <w:rsid w:val="0010501C"/>
    <w:rsid w:val="00361EA9"/>
    <w:rsid w:val="00BC3E0A"/>
    <w:rsid w:val="00E27624"/>
    <w:rsid w:val="00F1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A92D4A"/>
  <w15:chartTrackingRefBased/>
  <w15:docId w15:val="{D4F9C3D5-8ABF-4C58-83EF-002981036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C44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C44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C44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C44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GDD</dc:creator>
  <cp:keywords/>
  <dc:description>NE.Rep</dc:description>
  <cp:lastModifiedBy>GDD</cp:lastModifiedBy>
  <cp:revision>2</cp:revision>
  <dcterms:created xsi:type="dcterms:W3CDTF">2018-10-19T08:01:00Z</dcterms:created>
  <dcterms:modified xsi:type="dcterms:W3CDTF">2018-10-19T08:26:00Z</dcterms:modified>
</cp:coreProperties>
</file>