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TOD地区的定义：一种高密度、混合用途的社区，对于不同年龄段、不同收入的群体都有良好的公共交通可达性，便于这些人群乘坐公共交通或是借助其他非机动出行方式到达其目的地。</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本文针对</w:t>
      </w:r>
      <w:r>
        <w:rPr>
          <w:rFonts w:hint="eastAsia" w:asciiTheme="minorEastAsia" w:hAnsiTheme="minorEastAsia" w:eastAsiaTheme="minorEastAsia" w:cstheme="minorEastAsia"/>
          <w:lang w:val="en-US" w:eastAsia="zh-CN"/>
        </w:rPr>
        <w:t>TOD模式在美国两大城市——华盛顿哥伦比亚特区和巴尔的摩的实施效果进行了分析。</w:t>
      </w:r>
      <w:r>
        <w:rPr>
          <w:rFonts w:hint="eastAsia" w:asciiTheme="minorEastAsia" w:hAnsiTheme="minorEastAsia" w:cstheme="minorEastAsia"/>
          <w:lang w:val="en-US" w:eastAsia="zh-CN"/>
        </w:rPr>
        <w:t>分析方法包括数据统计和模型拟合。</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出行种类：home-based work（HBW）， home-based shopping（HBS）， home-based other（HBO）， non-home-based（NHB）</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由于TOD模式对NHB出行的影响极其微小，因此本次研究不考虑NHB出行</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出行方式：小汽车出行、非小汽车出行（公共交通、步行、骑行）</w:t>
      </w:r>
    </w:p>
    <w:p>
      <w:pPr>
        <w:rPr>
          <w:rFonts w:hint="eastAsia" w:asciiTheme="minorEastAsia" w:hAnsiTheme="minorEastAsia" w:cstheme="minorEastAsia"/>
          <w:lang w:val="en-US" w:eastAsia="zh-CN"/>
        </w:rPr>
      </w:pPr>
    </w:p>
    <w:p>
      <w:pPr>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数据统计</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结论：</w:t>
      </w:r>
    </w:p>
    <w:p>
      <w:pPr>
        <w:numPr>
          <w:ilvl w:val="0"/>
          <w:numId w:val="1"/>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两大城市TOD地区的平均小汽车出行次数均低于非TOD地区</w:t>
      </w:r>
    </w:p>
    <w:p>
      <w:pPr>
        <w:numPr>
          <w:ilvl w:val="0"/>
          <w:numId w:val="1"/>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两大城市TOD地区的平均出行里程低于非TOD地区</w:t>
      </w:r>
    </w:p>
    <w:p>
      <w:pPr>
        <w:numPr>
          <w:ilvl w:val="0"/>
          <w:numId w:val="1"/>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华盛顿TOD地区的出行时长略低于非TOD地区，而巴尔的摩TOD地区的出行时长长于非TOD地区</w:t>
      </w:r>
    </w:p>
    <w:p>
      <w:pPr>
        <w:numPr>
          <w:ilvl w:val="0"/>
          <w:numId w:val="1"/>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两大城市的HBW出行里程和出行距离均高于其他出行种类</w:t>
      </w:r>
    </w:p>
    <w:p>
      <w:pPr>
        <w:numPr>
          <w:ilvl w:val="0"/>
          <w:numId w:val="1"/>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两大城市TOD地区HBW的出行里程要低于非TOD地区</w:t>
      </w:r>
    </w:p>
    <w:p>
      <w:pPr>
        <w:widowControl w:val="0"/>
        <w:numPr>
          <w:numId w:val="0"/>
        </w:numPr>
        <w:jc w:val="both"/>
        <w:rPr>
          <w:rFonts w:hint="eastAsia" w:asciiTheme="minorEastAsia" w:hAnsiTheme="minorEastAsia" w:cstheme="minorEastAsia"/>
          <w:lang w:val="en-US" w:eastAsia="zh-CN"/>
        </w:rPr>
      </w:pPr>
    </w:p>
    <w:p>
      <w:pPr>
        <w:widowControl w:val="0"/>
        <w:numPr>
          <w:numId w:val="0"/>
        </w:numPr>
        <w:jc w:val="both"/>
        <w:rPr>
          <w:rFonts w:hint="eastAsia" w:asciiTheme="minorEastAsia" w:hAnsiTheme="minorEastAsia" w:cstheme="minorEastAsia"/>
          <w:b/>
          <w:bCs/>
          <w:lang w:val="en-US" w:eastAsia="zh-CN"/>
        </w:rPr>
      </w:pPr>
    </w:p>
    <w:p>
      <w:pPr>
        <w:widowControl w:val="0"/>
        <w:numPr>
          <w:numId w:val="0"/>
        </w:numPr>
        <w:jc w:val="both"/>
        <w:rPr>
          <w:rFonts w:hint="eastAsia" w:asciiTheme="minorEastAsia" w:hAnsiTheme="minorEastAsia" w:cstheme="minorEastAsia"/>
          <w:b/>
          <w:bCs/>
          <w:lang w:val="en-US" w:eastAsia="zh-CN"/>
        </w:rPr>
      </w:pPr>
    </w:p>
    <w:p>
      <w:pPr>
        <w:widowControl w:val="0"/>
        <w:numPr>
          <w:numId w:val="0"/>
        </w:numPr>
        <w:jc w:val="both"/>
        <w:rPr>
          <w:rFonts w:hint="eastAsia" w:asciiTheme="minorEastAsia" w:hAnsiTheme="minorEastAsia" w:cstheme="minorEastAsia"/>
          <w:b/>
          <w:bCs/>
          <w:lang w:val="en-US" w:eastAsia="zh-CN"/>
        </w:rPr>
      </w:pPr>
    </w:p>
    <w:p>
      <w:pPr>
        <w:widowControl w:val="0"/>
        <w:numPr>
          <w:numId w:val="0"/>
        </w:numPr>
        <w:jc w:val="both"/>
        <w:rPr>
          <w:rFonts w:hint="eastAsia" w:asciiTheme="minorEastAsia" w:hAnsiTheme="minorEastAsia" w:cstheme="minorEastAsia"/>
          <w:b/>
          <w:bCs/>
          <w:lang w:val="en-US" w:eastAsia="zh-CN"/>
        </w:rPr>
      </w:pPr>
    </w:p>
    <w:p>
      <w:pPr>
        <w:widowControl w:val="0"/>
        <w:numPr>
          <w:numId w:val="0"/>
        </w:numPr>
        <w:jc w:val="both"/>
        <w:rPr>
          <w:rFonts w:hint="eastAsia" w:asciiTheme="minorEastAsia" w:hAnsiTheme="minorEastAsia" w:cstheme="minorEastAsia"/>
          <w:b/>
          <w:bCs/>
          <w:lang w:val="en-US" w:eastAsia="zh-CN"/>
        </w:rPr>
      </w:pPr>
    </w:p>
    <w:p>
      <w:pPr>
        <w:widowControl w:val="0"/>
        <w:numPr>
          <w:numId w:val="0"/>
        </w:numPr>
        <w:jc w:val="both"/>
        <w:rPr>
          <w:rFonts w:hint="eastAsia" w:asciiTheme="minorEastAsia" w:hAnsiTheme="minorEastAsia" w:cstheme="minorEastAsia"/>
          <w:b/>
          <w:bCs/>
          <w:lang w:val="en-US" w:eastAsia="zh-CN"/>
        </w:rPr>
      </w:pPr>
    </w:p>
    <w:p>
      <w:pPr>
        <w:widowControl w:val="0"/>
        <w:numPr>
          <w:numId w:val="0"/>
        </w:numPr>
        <w:jc w:val="both"/>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模型拟合</w:t>
      </w:r>
    </w:p>
    <w:p>
      <w:pPr>
        <w:widowControl w:val="0"/>
        <w:numPr>
          <w:ilvl w:val="0"/>
          <w:numId w:val="2"/>
        </w:numPr>
        <w:ind w:left="420" w:leftChars="0" w:hanging="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TOD地区划分依据</w:t>
      </w:r>
    </w:p>
    <w:p>
      <w:pPr>
        <w:widowControl w:val="0"/>
        <w:numPr>
          <w:numId w:val="0"/>
        </w:numPr>
        <w:jc w:val="both"/>
      </w:pPr>
      <w:r>
        <w:drawing>
          <wp:inline distT="0" distB="0" distL="114300" distR="114300">
            <wp:extent cx="3261360" cy="4092575"/>
            <wp:effectExtent l="0" t="0" r="0" b="698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tretch>
                      <a:fillRect/>
                    </a:stretch>
                  </pic:blipFill>
                  <pic:spPr>
                    <a:xfrm>
                      <a:off x="0" y="0"/>
                      <a:ext cx="3261360" cy="4092575"/>
                    </a:xfrm>
                    <a:prstGeom prst="rect">
                      <a:avLst/>
                    </a:prstGeom>
                    <a:noFill/>
                    <a:ln w="9525">
                      <a:noFill/>
                    </a:ln>
                  </pic:spPr>
                </pic:pic>
              </a:graphicData>
            </a:graphic>
          </wp:inline>
        </w:drawing>
      </w:r>
    </w:p>
    <w:p>
      <w:pPr>
        <w:widowControl w:val="0"/>
        <w:numPr>
          <w:numId w:val="0"/>
        </w:numPr>
        <w:jc w:val="both"/>
      </w:pPr>
      <w:r>
        <w:drawing>
          <wp:inline distT="0" distB="0" distL="114300" distR="114300">
            <wp:extent cx="3101340" cy="1516380"/>
            <wp:effectExtent l="0" t="0" r="7620" b="762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5"/>
                    <a:stretch>
                      <a:fillRect/>
                    </a:stretch>
                  </pic:blipFill>
                  <pic:spPr>
                    <a:xfrm>
                      <a:off x="0" y="0"/>
                      <a:ext cx="3101340" cy="1516380"/>
                    </a:xfrm>
                    <a:prstGeom prst="rect">
                      <a:avLst/>
                    </a:prstGeom>
                    <a:noFill/>
                    <a:ln w="9525">
                      <a:noFill/>
                    </a:ln>
                  </pic:spPr>
                </pic:pic>
              </a:graphicData>
            </a:graphic>
          </wp:inline>
        </w:drawing>
      </w:r>
    </w:p>
    <w:p>
      <w:pPr>
        <w:widowControl w:val="0"/>
        <w:numPr>
          <w:ilvl w:val="0"/>
          <w:numId w:val="2"/>
        </w:numPr>
        <w:ind w:left="420" w:leftChars="0" w:hanging="420" w:firstLine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出行生成&amp;分布模型</w:t>
      </w:r>
    </w:p>
    <w:p>
      <w:pPr>
        <w:widowControl w:val="0"/>
        <w:numPr>
          <w:numId w:val="0"/>
        </w:numPr>
        <w:ind w:leftChars="0"/>
        <w:jc w:val="both"/>
        <w:rPr>
          <w:rFonts w:hint="eastAsia" w:asciiTheme="minorEastAsia" w:hAnsiTheme="minorEastAsia" w:cstheme="minorEastAsia"/>
          <w:lang w:val="en-US" w:eastAsia="zh-CN"/>
        </w:rPr>
      </w:pPr>
      <w:r>
        <w:drawing>
          <wp:inline distT="0" distB="0" distL="114300" distR="114300">
            <wp:extent cx="3169920" cy="129540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stretch>
                      <a:fillRect/>
                    </a:stretch>
                  </pic:blipFill>
                  <pic:spPr>
                    <a:xfrm>
                      <a:off x="0" y="0"/>
                      <a:ext cx="3169920" cy="1295400"/>
                    </a:xfrm>
                    <a:prstGeom prst="rect">
                      <a:avLst/>
                    </a:prstGeom>
                    <a:noFill/>
                    <a:ln w="9525">
                      <a:noFill/>
                    </a:ln>
                  </pic:spPr>
                </pic:pic>
              </a:graphicData>
            </a:graphic>
          </wp:inline>
        </w:drawing>
      </w:r>
    </w:p>
    <w:p>
      <w:pPr>
        <w:widowControl w:val="0"/>
        <w:numPr>
          <w:ilvl w:val="0"/>
          <w:numId w:val="2"/>
        </w:numPr>
        <w:ind w:left="420" w:leftChars="0" w:hanging="420" w:firstLine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方式划分模型</w:t>
      </w:r>
    </w:p>
    <w:p>
      <w:pPr>
        <w:widowControl w:val="0"/>
        <w:numPr>
          <w:numId w:val="0"/>
        </w:numPr>
        <w:ind w:leftChars="0"/>
        <w:jc w:val="both"/>
      </w:pPr>
      <w:r>
        <w:drawing>
          <wp:inline distT="0" distB="0" distL="114300" distR="114300">
            <wp:extent cx="3291840" cy="2004060"/>
            <wp:effectExtent l="0" t="0" r="0" b="762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tretch>
                      <a:fillRect/>
                    </a:stretch>
                  </pic:blipFill>
                  <pic:spPr>
                    <a:xfrm>
                      <a:off x="0" y="0"/>
                      <a:ext cx="3291840" cy="2004060"/>
                    </a:xfrm>
                    <a:prstGeom prst="rect">
                      <a:avLst/>
                    </a:prstGeom>
                    <a:noFill/>
                    <a:ln w="9525">
                      <a:noFill/>
                    </a:ln>
                  </pic:spPr>
                </pic:pic>
              </a:graphicData>
            </a:graphic>
          </wp:inline>
        </w:drawing>
      </w:r>
    </w:p>
    <w:p>
      <w:pPr>
        <w:widowControl w:val="0"/>
        <w:numPr>
          <w:numId w:val="0"/>
        </w:numPr>
        <w:ind w:leftChars="0"/>
        <w:jc w:val="both"/>
      </w:pPr>
      <w:r>
        <w:drawing>
          <wp:inline distT="0" distB="0" distL="114300" distR="114300">
            <wp:extent cx="3223260" cy="1965960"/>
            <wp:effectExtent l="0" t="0" r="762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8"/>
                    <a:stretch>
                      <a:fillRect/>
                    </a:stretch>
                  </pic:blipFill>
                  <pic:spPr>
                    <a:xfrm>
                      <a:off x="0" y="0"/>
                      <a:ext cx="3223260" cy="1965960"/>
                    </a:xfrm>
                    <a:prstGeom prst="rect">
                      <a:avLst/>
                    </a:prstGeom>
                    <a:noFill/>
                    <a:ln w="9525">
                      <a:noFill/>
                    </a:ln>
                  </pic:spPr>
                </pic:pic>
              </a:graphicData>
            </a:graphic>
          </wp:inline>
        </w:drawing>
      </w:r>
    </w:p>
    <w:p>
      <w:pPr>
        <w:widowControl w:val="0"/>
        <w:numPr>
          <w:numId w:val="0"/>
        </w:numPr>
        <w:ind w:leftChars="0"/>
        <w:jc w:val="both"/>
      </w:pPr>
    </w:p>
    <w:p>
      <w:pPr>
        <w:widowControl w:val="0"/>
        <w:numPr>
          <w:ilvl w:val="0"/>
          <w:numId w:val="0"/>
        </w:numPr>
        <w:jc w:val="both"/>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TOD地区分布</w:t>
      </w:r>
    </w:p>
    <w:p>
      <w:pPr>
        <w:widowControl w:val="0"/>
        <w:numPr>
          <w:ilvl w:val="0"/>
          <w:numId w:val="3"/>
        </w:numPr>
        <w:ind w:left="420" w:leftChars="0" w:hanging="420" w:firstLineChars="0"/>
        <w:jc w:val="both"/>
        <w:rPr>
          <w:rFonts w:hint="eastAsia"/>
          <w:lang w:val="en-US" w:eastAsia="zh-CN"/>
        </w:rPr>
      </w:pPr>
      <w:r>
        <w:rPr>
          <w:rFonts w:hint="eastAsia"/>
          <w:lang w:val="en-US" w:eastAsia="zh-CN"/>
        </w:rPr>
        <w:t>华盛顿</w:t>
      </w:r>
    </w:p>
    <w:p>
      <w:pPr>
        <w:widowControl w:val="0"/>
        <w:numPr>
          <w:ilvl w:val="0"/>
          <w:numId w:val="0"/>
        </w:numPr>
        <w:jc w:val="both"/>
      </w:pPr>
      <w:r>
        <w:drawing>
          <wp:inline distT="0" distB="0" distL="114300" distR="114300">
            <wp:extent cx="3154680" cy="217932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9"/>
                    <a:stretch>
                      <a:fillRect/>
                    </a:stretch>
                  </pic:blipFill>
                  <pic:spPr>
                    <a:xfrm>
                      <a:off x="0" y="0"/>
                      <a:ext cx="3154680" cy="2179320"/>
                    </a:xfrm>
                    <a:prstGeom prst="rect">
                      <a:avLst/>
                    </a:prstGeom>
                    <a:noFill/>
                    <a:ln w="9525">
                      <a:noFill/>
                    </a:ln>
                  </pic:spPr>
                </pic:pic>
              </a:graphicData>
            </a:graphic>
          </wp:inline>
        </w:drawing>
      </w:r>
    </w:p>
    <w:p>
      <w:pPr>
        <w:widowControl w:val="0"/>
        <w:numPr>
          <w:ilvl w:val="0"/>
          <w:numId w:val="3"/>
        </w:numPr>
        <w:ind w:left="420" w:leftChars="0" w:hanging="420" w:firstLineChars="0"/>
        <w:jc w:val="both"/>
        <w:rPr>
          <w:rFonts w:hint="eastAsia"/>
          <w:lang w:val="en-US" w:eastAsia="zh-CN"/>
        </w:rPr>
      </w:pPr>
      <w:r>
        <w:rPr>
          <w:rFonts w:hint="eastAsia"/>
          <w:lang w:eastAsia="zh-CN"/>
        </w:rPr>
        <w:t>巴尔的摩</w:t>
      </w:r>
    </w:p>
    <w:p>
      <w:pPr>
        <w:widowControl w:val="0"/>
        <w:numPr>
          <w:ilvl w:val="0"/>
          <w:numId w:val="0"/>
        </w:numPr>
        <w:ind w:leftChars="0"/>
        <w:jc w:val="both"/>
        <w:rPr>
          <w:rFonts w:hint="eastAsia"/>
          <w:lang w:val="en-US" w:eastAsia="zh-CN"/>
        </w:rPr>
      </w:pPr>
      <w:r>
        <w:drawing>
          <wp:inline distT="0" distB="0" distL="114300" distR="114300">
            <wp:extent cx="3223260" cy="2171700"/>
            <wp:effectExtent l="0" t="0" r="7620" b="762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0"/>
                    <a:stretch>
                      <a:fillRect/>
                    </a:stretch>
                  </pic:blipFill>
                  <pic:spPr>
                    <a:xfrm>
                      <a:off x="0" y="0"/>
                      <a:ext cx="3223260" cy="2171700"/>
                    </a:xfrm>
                    <a:prstGeom prst="rect">
                      <a:avLst/>
                    </a:prstGeom>
                    <a:noFill/>
                    <a:ln w="9525">
                      <a:noFill/>
                    </a:ln>
                  </pic:spPr>
                </pic:pic>
              </a:graphicData>
            </a:graphic>
          </wp:inline>
        </w:drawing>
      </w:r>
    </w:p>
    <w:p>
      <w:pPr>
        <w:widowControl w:val="0"/>
        <w:numPr>
          <w:numId w:val="0"/>
        </w:numPr>
        <w:ind w:leftChars="0"/>
        <w:jc w:val="both"/>
        <w:rPr>
          <w:rFonts w:hint="eastAsia"/>
          <w:lang w:val="en-US" w:eastAsia="zh-CN"/>
        </w:rPr>
      </w:pPr>
    </w:p>
    <w:p>
      <w:pPr>
        <w:widowControl w:val="0"/>
        <w:numPr>
          <w:numId w:val="0"/>
        </w:numPr>
        <w:ind w:leftChars="0"/>
        <w:jc w:val="both"/>
        <w:rPr>
          <w:rFonts w:hint="eastAsia"/>
          <w:b/>
          <w:bCs/>
          <w:lang w:val="en-US" w:eastAsia="zh-CN"/>
        </w:rPr>
      </w:pPr>
      <w:r>
        <w:rPr>
          <w:rFonts w:hint="eastAsia"/>
          <w:b/>
          <w:bCs/>
          <w:lang w:val="en-US" w:eastAsia="zh-CN"/>
        </w:rPr>
        <w:t>对出行生成的影响</w:t>
      </w:r>
    </w:p>
    <w:p>
      <w:pPr>
        <w:widowControl w:val="0"/>
        <w:numPr>
          <w:numId w:val="0"/>
        </w:numPr>
        <w:ind w:leftChars="0"/>
        <w:jc w:val="both"/>
      </w:pPr>
      <w:r>
        <w:drawing>
          <wp:inline distT="0" distB="0" distL="114300" distR="114300">
            <wp:extent cx="5269865" cy="2094865"/>
            <wp:effectExtent l="0" t="0" r="3175" b="8255"/>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1"/>
                    <a:stretch>
                      <a:fillRect/>
                    </a:stretch>
                  </pic:blipFill>
                  <pic:spPr>
                    <a:xfrm>
                      <a:off x="0" y="0"/>
                      <a:ext cx="5269865" cy="2094865"/>
                    </a:xfrm>
                    <a:prstGeom prst="rect">
                      <a:avLst/>
                    </a:prstGeom>
                    <a:noFill/>
                    <a:ln w="9525">
                      <a:noFill/>
                    </a:ln>
                  </pic:spPr>
                </pic:pic>
              </a:graphicData>
            </a:graphic>
          </wp:inline>
        </w:drawing>
      </w:r>
    </w:p>
    <w:p>
      <w:pPr>
        <w:widowControl w:val="0"/>
        <w:numPr>
          <w:numId w:val="0"/>
        </w:numPr>
        <w:ind w:left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OD地区居民的出行次数并未减少，呈增长趋势。结果显示，华盛顿和巴尔的摩TOD地区的居民出行次数比非TOD地区居民分别多51%和28%，其中非小汽车出行次数分别比非TOD地区居民多171%和74%，小汽车出行分别比非TOD地区居民少120%和60%。在华盛顿，TOD模式在减少小汽车出行和激励公交出行、骑行、步行方面的效果要显著高于巴尔的摩。</w:t>
      </w:r>
    </w:p>
    <w:p>
      <w:pPr>
        <w:widowControl w:val="0"/>
        <w:numPr>
          <w:ilvl w:val="0"/>
          <w:numId w:val="0"/>
        </w:numPr>
        <w:ind w:leftChars="0"/>
        <w:jc w:val="both"/>
        <w:rPr>
          <w:rFonts w:hint="eastAsia"/>
          <w:b/>
          <w:bCs/>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对出行分布的影响</w:t>
      </w:r>
    </w:p>
    <w:p>
      <w:pPr>
        <w:widowControl w:val="0"/>
        <w:numPr>
          <w:ilvl w:val="0"/>
          <w:numId w:val="0"/>
        </w:numPr>
        <w:ind w:leftChars="0"/>
        <w:jc w:val="both"/>
        <w:rPr>
          <w:rFonts w:hint="eastAsia"/>
          <w:b/>
          <w:bCs/>
          <w:lang w:val="en-US" w:eastAsia="zh-CN"/>
        </w:rPr>
      </w:pPr>
      <w:r>
        <w:drawing>
          <wp:inline distT="0" distB="0" distL="114300" distR="114300">
            <wp:extent cx="5267960" cy="2044700"/>
            <wp:effectExtent l="0" t="0" r="5080" b="1270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2"/>
                    <a:stretch>
                      <a:fillRect/>
                    </a:stretch>
                  </pic:blipFill>
                  <pic:spPr>
                    <a:xfrm>
                      <a:off x="0" y="0"/>
                      <a:ext cx="5267960" cy="2044700"/>
                    </a:xfrm>
                    <a:prstGeom prst="rect">
                      <a:avLst/>
                    </a:prstGeom>
                    <a:noFill/>
                    <a:ln w="9525">
                      <a:noFill/>
                    </a:ln>
                  </pic:spPr>
                </pic:pic>
              </a:graphicData>
            </a:graphic>
          </wp:inline>
        </w:drawing>
      </w:r>
    </w:p>
    <w:p>
      <w:pPr>
        <w:widowControl w:val="0"/>
        <w:numPr>
          <w:numId w:val="0"/>
        </w:numPr>
        <w:ind w:leftChars="0"/>
        <w:jc w:val="both"/>
        <w:rPr>
          <w:rFonts w:hint="eastAsia"/>
          <w:lang w:val="en-US" w:eastAsia="zh-CN"/>
        </w:rPr>
      </w:pPr>
      <w:r>
        <w:rPr>
          <w:rFonts w:hint="eastAsia"/>
          <w:lang w:val="en-US" w:eastAsia="zh-CN"/>
        </w:rPr>
        <w:t>通过开展TOD模式的土地规划，各类出行（HBW,HBS,HBO）的总出行里程均有减少。华盛顿的总出行里程减少了40%，HBW出行里程减少了40%，HBS出行里程减少了46%，HBO出行里程减少了40%；巴尔的摩的总出行里程减少了25%，HBW出行里程减少了37%，HBS出行里程减少了41%，HBO出行里程减少了18%。</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两城市变化方向相同，但变化幅度不同。原因分析</w:t>
      </w:r>
    </w:p>
    <w:p>
      <w:pPr>
        <w:widowControl w:val="0"/>
        <w:numPr>
          <w:ilvl w:val="0"/>
          <w:numId w:val="4"/>
        </w:numPr>
        <w:ind w:leftChars="0"/>
        <w:jc w:val="both"/>
        <w:rPr>
          <w:rFonts w:hint="eastAsia"/>
          <w:lang w:val="en-US" w:eastAsia="zh-CN"/>
        </w:rPr>
      </w:pPr>
      <w:r>
        <w:rPr>
          <w:rFonts w:hint="eastAsia"/>
          <w:lang w:val="en-US" w:eastAsia="zh-CN"/>
        </w:rPr>
        <w:t>华盛顿的人口和就业分布更密集，这吸引了更多的人到华盛顿居住和工作；</w:t>
      </w:r>
    </w:p>
    <w:p>
      <w:pPr>
        <w:widowControl w:val="0"/>
        <w:numPr>
          <w:ilvl w:val="0"/>
          <w:numId w:val="4"/>
        </w:numPr>
        <w:ind w:leftChars="0"/>
        <w:jc w:val="both"/>
        <w:rPr>
          <w:rFonts w:hint="eastAsia"/>
          <w:lang w:val="en-US" w:eastAsia="zh-CN"/>
        </w:rPr>
      </w:pPr>
      <w:r>
        <w:rPr>
          <w:rFonts w:hint="eastAsia"/>
          <w:lang w:val="en-US" w:eastAsia="zh-CN"/>
        </w:rPr>
        <w:t>巴尔的摩相较于华盛顿有更多的停车位，且停车价格较低，但巴尔的摩的社区行人设施、服务和土地混合用途开发强度都远不及华盛顿</w:t>
      </w:r>
    </w:p>
    <w:p>
      <w:pPr>
        <w:widowControl w:val="0"/>
        <w:numPr>
          <w:numId w:val="0"/>
        </w:numPr>
        <w:jc w:val="both"/>
        <w:rPr>
          <w:rFonts w:hint="eastAsia"/>
          <w:lang w:val="en-US" w:eastAsia="zh-CN"/>
        </w:rPr>
      </w:pPr>
      <w:r>
        <w:rPr>
          <w:rFonts w:hint="eastAsia"/>
          <w:lang w:val="en-US" w:eastAsia="zh-CN"/>
        </w:rPr>
        <w:t>（详见论文p51）</w:t>
      </w:r>
    </w:p>
    <w:p>
      <w:pPr>
        <w:widowControl w:val="0"/>
        <w:numPr>
          <w:numId w:val="0"/>
        </w:numPr>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对方式划分的影响</w:t>
      </w:r>
    </w:p>
    <w:p>
      <w:pPr>
        <w:widowControl w:val="0"/>
        <w:numPr>
          <w:ilvl w:val="0"/>
          <w:numId w:val="0"/>
        </w:numPr>
        <w:ind w:leftChars="0"/>
        <w:jc w:val="both"/>
      </w:pPr>
      <w:r>
        <w:drawing>
          <wp:inline distT="0" distB="0" distL="114300" distR="114300">
            <wp:extent cx="5273040" cy="3172460"/>
            <wp:effectExtent l="0" t="0" r="0" b="1270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3"/>
                    <a:stretch>
                      <a:fillRect/>
                    </a:stretch>
                  </pic:blipFill>
                  <pic:spPr>
                    <a:xfrm>
                      <a:off x="0" y="0"/>
                      <a:ext cx="5273040" cy="3172460"/>
                    </a:xfrm>
                    <a:prstGeom prst="rect">
                      <a:avLst/>
                    </a:prstGeom>
                    <a:noFill/>
                    <a:ln w="9525">
                      <a:noFill/>
                    </a:ln>
                  </pic:spPr>
                </pic:pic>
              </a:graphicData>
            </a:graphic>
          </wp:inline>
        </w:drawing>
      </w:r>
    </w:p>
    <w:p>
      <w:pPr>
        <w:widowControl w:val="0"/>
        <w:numPr>
          <w:ilvl w:val="0"/>
          <w:numId w:val="0"/>
        </w:numPr>
        <w:ind w:leftChars="0"/>
        <w:jc w:val="both"/>
        <w:rPr>
          <w:rFonts w:hint="eastAsia"/>
          <w:lang w:val="en-US" w:eastAsia="zh-CN"/>
        </w:rPr>
      </w:pPr>
      <w:r>
        <w:rPr>
          <w:rFonts w:hint="eastAsia"/>
          <w:lang w:eastAsia="zh-CN"/>
        </w:rPr>
        <w:t>相较于巴尔的摩，华盛顿的</w:t>
      </w:r>
      <w:r>
        <w:rPr>
          <w:rFonts w:hint="eastAsia"/>
          <w:lang w:val="en-US" w:eastAsia="zh-CN"/>
        </w:rPr>
        <w:t>TOD区域的nonauto（公共交通、骑行、步行）出行比例更高。</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在华盛顿，TOD模式导致小汽车出行方式的比例下降了7.3%，公共交通和慢行交通的出行比例分别提高了3.75%和3.55%。在TOD区域，居住密度每增长一个单位，公共交通和慢行交通的出行比例分别上涨0.12%和0.24%。</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在巴尔的摩，TOD模式导致小汽车出行方式的比例下降了8.95%，公共交通和慢行交通的出行比例分别提高了2.46%和6.49%。在TOD区域，平均汽车保有量每增长一个单位，小汽车出行比例增加7.52%，公共交通和慢行交通的出行比例分别下降3.39%和4.14%。</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TOD在巴尔的摩的实施效果明显弱于华盛顿。原因分析：</w:t>
      </w:r>
    </w:p>
    <w:p>
      <w:pPr>
        <w:widowControl w:val="0"/>
        <w:numPr>
          <w:ilvl w:val="0"/>
          <w:numId w:val="0"/>
        </w:numPr>
        <w:ind w:leftChars="0"/>
        <w:jc w:val="both"/>
        <w:rPr>
          <w:rFonts w:hint="eastAsia"/>
          <w:lang w:val="en-US" w:eastAsia="zh-CN"/>
        </w:rPr>
      </w:pPr>
      <w:r>
        <w:rPr>
          <w:rFonts w:hint="eastAsia"/>
          <w:lang w:val="en-US" w:eastAsia="zh-CN"/>
        </w:rPr>
        <w:t>巴尔的摩的公共交通系统没有华盛顿的发达，运行效率相对较低</w:t>
      </w:r>
      <w:bookmarkStart w:id="0" w:name="_GoBack"/>
      <w:bookmarkEnd w:id="0"/>
    </w:p>
    <w:p>
      <w:pPr>
        <w:widowControl w:val="0"/>
        <w:numPr>
          <w:ilvl w:val="0"/>
          <w:numId w:val="0"/>
        </w:numPr>
        <w:ind w:leftChars="0"/>
        <w:jc w:val="both"/>
        <w:rPr>
          <w:rFonts w:hint="eastAsia"/>
          <w:lang w:val="en-US" w:eastAsia="zh-CN"/>
        </w:rPr>
      </w:pPr>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D96EB"/>
    <w:multiLevelType w:val="singleLevel"/>
    <w:tmpl w:val="925D96EB"/>
    <w:lvl w:ilvl="0" w:tentative="0">
      <w:start w:val="1"/>
      <w:numFmt w:val="bullet"/>
      <w:lvlText w:val=""/>
      <w:lvlJc w:val="left"/>
      <w:pPr>
        <w:ind w:left="420" w:hanging="420"/>
      </w:pPr>
      <w:rPr>
        <w:rFonts w:hint="default" w:ascii="Wingdings" w:hAnsi="Wingdings"/>
      </w:rPr>
    </w:lvl>
  </w:abstractNum>
  <w:abstractNum w:abstractNumId="1">
    <w:nsid w:val="B6FB3403"/>
    <w:multiLevelType w:val="singleLevel"/>
    <w:tmpl w:val="B6FB3403"/>
    <w:lvl w:ilvl="0" w:tentative="0">
      <w:start w:val="1"/>
      <w:numFmt w:val="bullet"/>
      <w:lvlText w:val=""/>
      <w:lvlJc w:val="left"/>
      <w:pPr>
        <w:ind w:left="420" w:hanging="420"/>
      </w:pPr>
      <w:rPr>
        <w:rFonts w:hint="default" w:ascii="Wingdings" w:hAnsi="Wingdings"/>
      </w:rPr>
    </w:lvl>
  </w:abstractNum>
  <w:abstractNum w:abstractNumId="2">
    <w:nsid w:val="DC7BD7FE"/>
    <w:multiLevelType w:val="singleLevel"/>
    <w:tmpl w:val="DC7BD7FE"/>
    <w:lvl w:ilvl="0" w:tentative="0">
      <w:start w:val="1"/>
      <w:numFmt w:val="decimal"/>
      <w:lvlText w:val="%1."/>
      <w:lvlJc w:val="left"/>
      <w:pPr>
        <w:tabs>
          <w:tab w:val="left" w:pos="312"/>
        </w:tabs>
      </w:pPr>
    </w:lvl>
  </w:abstractNum>
  <w:abstractNum w:abstractNumId="3">
    <w:nsid w:val="4E38EEE7"/>
    <w:multiLevelType w:val="singleLevel"/>
    <w:tmpl w:val="4E38EEE7"/>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654D0"/>
    <w:rsid w:val="0BC548B4"/>
    <w:rsid w:val="465A323B"/>
    <w:rsid w:val="7192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燚、</cp:lastModifiedBy>
  <dcterms:modified xsi:type="dcterms:W3CDTF">2018-10-18T11:27:02Z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