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 w:before="520"/>
        <w:jc w:val="center"/>
      </w:pPr>
      <w:r>
        <w:rPr>
          <w:rFonts w:ascii="SimHei" w:cs="SimHei" w:eastAsia="SimHei" w:hAnsi="SimHei"/>
          <w:b/>
          <w:bCs/>
          <w:sz w:val="38"/>
          <w:szCs w:val="38"/>
        </w:rPr>
        <w:t xml:space="preserve">西欧健康人群肠道菌群胖瘦差异分析</w:t>
      </w:r>
    </w:p>
    <w:p>
      <w:pPr>
        <w:spacing w:after="70"/>
        <w:jc w:val="center"/>
      </w:pPr>
      <w:r>
        <w:rPr>
          <w:rFonts w:ascii="SimHei" w:cs="SimHei" w:eastAsia="SimHei" w:hAnsi="SimHei"/>
          <w:b/>
          <w:bCs/>
          <w:sz w:val="24"/>
          <w:szCs w:val="24"/>
        </w:rPr>
        <w:t xml:space="preserve">排除 2 型糖尿病 · 研究内年龄性别匹配 · 随机效应 meta 验证</w:t>
      </w:r>
    </w:p>
    <w:p>
      <w:pPr>
        <w:spacing w:after="320"/>
        <w:jc w:val="center"/>
      </w:pPr>
      <w:r>
        <w:rPr>
          <w:rFonts w:ascii="SimSun" w:cs="SimSun" w:eastAsia="SimSun" w:hAnsi="SimSun"/>
          <w:sz w:val="20"/>
          <w:szCs w:val="20"/>
        </w:rPr>
        <w:t xml:space="preserve">ProSlim-Microbiome-AI 项目组　2026 年 6 月 25 日</w:t>
      </w:r>
    </w:p>
    <w:p>
      <w:pPr>
        <w:spacing w:after="90"/>
      </w:pPr>
      <w:r>
        <w:rPr>
          <w:rFonts w:ascii="SimHei" w:cs="SimHei" w:eastAsia="SimHei" w:hAnsi="SimHei"/>
          <w:b/>
          <w:bCs/>
          <w:sz w:val="23"/>
          <w:szCs w:val="23"/>
        </w:rPr>
        <w:t xml:space="preserve">摘要</w:t>
      </w:r>
    </w:p>
    <w:p>
      <w:pPr>
        <w:spacing w:after="110" w:line="340"/>
        <w:jc w:val="both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目的：</w:t>
      </w:r>
      <w:r>
        <w:rPr>
          <w:rFonts w:ascii="SimSun" w:cs="SimSun" w:eastAsia="SimSun" w:hAnsi="SimSun"/>
          <w:sz w:val="21"/>
          <w:szCs w:val="21"/>
        </w:rPr>
        <w:t xml:space="preserve">明确西欧无疾病人群中，肥胖相关的肠道菌群差异是否独立于年龄与性别混杂。</w:t>
      </w:r>
      <w:r>
        <w:rPr>
          <w:rFonts w:ascii="SimSun" w:cs="SimSun" w:eastAsia="SimSun" w:hAnsi="SimSun"/>
          <w:b/>
          <w:bCs/>
          <w:sz w:val="21"/>
          <w:szCs w:val="21"/>
        </w:rPr>
        <w:t xml:space="preserve">方法：</w:t>
      </w:r>
      <w:r>
        <w:rPr>
          <w:rFonts w:ascii="SimSun" w:cs="SimSun" w:eastAsia="SimSun" w:hAnsi="SimSun"/>
          <w:sz w:val="21"/>
          <w:szCs w:val="21"/>
        </w:rPr>
        <w:t xml:space="preserve">自 8 304 例公开宏基因组样本逐级筛选，排除 2 型糖尿病、糖耐量异常与高血压，最终纳入 7 项鸟枪法测序研究（DNK/GBR/IRL/NLD），共 1380 例瘦人与 628 例肥胖者。采用研究内 1:1 年龄（±5 岁）性别匹配（n=904）并在回归中再次校正，对 199 个物种行 OLS 差异分析（BH-FDR），以随机效应 meta 分析交叉验证，并用随机森林留一研究交叉验证。</w:t>
      </w:r>
      <w:r>
        <w:rPr>
          <w:rFonts w:ascii="SimSun" w:cs="SimSun" w:eastAsia="SimSun" w:hAnsi="SimSun"/>
          <w:b/>
          <w:bCs/>
          <w:sz w:val="21"/>
          <w:szCs w:val="21"/>
        </w:rPr>
        <w:t xml:space="preserve">结果：</w:t>
      </w:r>
      <w:r>
        <w:rPr>
          <w:rFonts w:ascii="SimSun" w:cs="SimSun" w:eastAsia="SimSun" w:hAnsi="SimSun"/>
          <w:sz w:val="21"/>
          <w:szCs w:val="21"/>
        </w:rPr>
        <w:t xml:space="preserve">匹配后仅年龄性别模型 AUC 降至 0.527（≈随机），而菌群模型仍达 0.749。共 41 个物种 FDR&lt;0.05，其中 37 个通过 meta 验证。产甲烷古菌 Methanobrevibacter smithii 为最稳健瘦人标志（I²=0%），Ruminococcus gnavus 在肥胖者中丰度翻倍（2.05 倍）。丁酸产生菌呈现种间分化：Butyrivibrio crossotus 与 Eubacterium eligens 富集于瘦人，而 Roseburia intestinalis 与 Eubacterium rectale 富集于肥胖。</w:t>
      </w:r>
      <w:r>
        <w:rPr>
          <w:rFonts w:ascii="SimSun" w:cs="SimSun" w:eastAsia="SimSun" w:hAnsi="SimSun"/>
          <w:b/>
          <w:bCs/>
          <w:sz w:val="21"/>
          <w:szCs w:val="21"/>
        </w:rPr>
        <w:t xml:space="preserve">结论：</w:t>
      </w:r>
      <w:r>
        <w:rPr>
          <w:rFonts w:ascii="SimSun" w:cs="SimSun" w:eastAsia="SimSun" w:hAnsi="SimSun"/>
          <w:sz w:val="21"/>
          <w:szCs w:val="21"/>
        </w:rPr>
        <w:t xml:space="preserve">严格校正后菌群差异为独立生物学信号；菌株组合设计必须采用种级而非属级分辨率。</w:t>
      </w:r>
    </w:p>
    <w:p>
      <w:pPr>
        <w:spacing w:after="200" w:before="110"/>
      </w:pPr>
      <w:r>
        <w:rPr>
          <w:rFonts w:ascii="SimHei" w:cs="SimHei" w:eastAsia="SimHei" w:hAnsi="SimHei"/>
          <w:b/>
          <w:bCs/>
          <w:sz w:val="19"/>
          <w:szCs w:val="19"/>
        </w:rPr>
        <w:t xml:space="preserve">关键词：</w:t>
      </w:r>
      <w:r>
        <w:rPr>
          <w:rFonts w:ascii="SimSun" w:cs="SimSun" w:eastAsia="SimSun" w:hAnsi="SimSun"/>
          <w:sz w:val="19"/>
          <w:szCs w:val="19"/>
        </w:rPr>
        <w:t xml:space="preserve">肠道菌群；肥胖；西欧队列；倾向匹配；随机效应 meta 分析；机器学习</w:t>
      </w:r>
    </w:p>
    <w:p>
      <w:pPr>
        <w:pStyle w:val="Heading1"/>
        <w:spacing w:after="150" w:before="300"/>
      </w:pPr>
      <w:r>
        <w:rPr>
          <w:rFonts w:ascii="SimHei" w:cs="SimHei" w:eastAsia="SimHei" w:hAnsi="SimHei"/>
          <w:b/>
          <w:bCs/>
          <w:sz w:val="29"/>
          <w:szCs w:val="29"/>
        </w:rPr>
        <w:t xml:space="preserve">1  方法</w:t>
      </w:r>
    </w:p>
    <w:p>
      <w:pPr>
        <w:pStyle w:val="Heading2"/>
        <w:spacing w:after="110" w:before="200"/>
      </w:pPr>
      <w:r>
        <w:rPr>
          <w:rFonts w:ascii="SimHei" w:cs="SimHei" w:eastAsia="SimHei" w:hAnsi="SimHei"/>
          <w:b/>
          <w:bCs/>
          <w:sz w:val="24"/>
          <w:szCs w:val="24"/>
        </w:rPr>
        <w:t xml:space="preserve">1.1  队列构建与纳入排除</w:t>
      </w:r>
    </w:p>
    <w:p>
      <w:pPr>
        <w:spacing w:after="110" w:line="340"/>
        <w:ind w:firstLine="440"/>
        <w:jc w:val="both"/>
      </w:pPr>
      <w:r>
        <w:rPr>
          <w:rFonts w:ascii="SimSun" w:cs="SimSun" w:eastAsia="SimSun" w:hAnsi="SimSun"/>
          <w:sz w:val="21"/>
          <w:szCs w:val="21"/>
        </w:rPr>
        <w:t xml:space="preserve">自公开宏基因组队列体系出发，逐级应用纳入排除标准（表 1）。</w:t>
      </w:r>
      <w:r>
        <w:rPr>
          <w:rFonts w:ascii="SimSun" w:cs="SimSun" w:eastAsia="SimSun" w:hAnsi="SimSun"/>
          <w:b/>
          <w:bCs/>
          <w:sz w:val="21"/>
          <w:szCs w:val="21"/>
        </w:rPr>
        <w:t xml:space="preserve">关键排除</w:t>
      </w:r>
      <w:r>
        <w:rPr>
          <w:rFonts w:ascii="SimSun" w:cs="SimSun" w:eastAsia="SimSun" w:hAnsi="SimSun"/>
          <w:sz w:val="21"/>
          <w:szCs w:val="21"/>
        </w:rPr>
        <w:t xml:space="preserve">：所有 2 型糖尿病（T2D）、糖耐量异常（IGT）与高血压受试者，以确保观察到的差异归因于肥胖本身而非代谢疾病。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26"/>
        <w:gridCol w:w="3000"/>
      </w:tblGrid>
      <w:tr>
        <w:trPr>
          <w:tblHeader/>
        </w:trPr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/>
                <w:bCs/>
                <w:sz w:val="16"/>
                <w:szCs w:val="16"/>
              </w:rPr>
              <w:t xml:space="preserve">筛选步骤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6"/>
                <w:szCs w:val="16"/>
              </w:rPr>
              <w:t xml:space="preserve">剩余样本量</w:t>
            </w:r>
          </w:p>
        </w:tc>
      </w:tr>
      <w:tr>
        <w:trPr>
          <w:tblHeader w:val="false"/>
        </w:trPr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原始样本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8304</w:t>
            </w:r>
          </w:p>
        </w:tc>
      </w:tr>
      <w:tr>
        <w:trPr>
          <w:tblHeader w:val="false"/>
        </w:trPr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西欧国家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4869</w:t>
            </w:r>
          </w:p>
        </w:tc>
      </w:tr>
      <w:tr>
        <w:trPr>
          <w:tblHeader w:val="false"/>
        </w:trPr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无疾病(排除T2D/IGT/高血压)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4151</w:t>
            </w:r>
          </w:p>
        </w:tc>
      </w:tr>
      <w:tr>
        <w:trPr>
          <w:tblHeader w:val="false"/>
        </w:trPr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瘦或肥胖(排除超重)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2973</w:t>
            </w:r>
          </w:p>
        </w:tc>
      </w:tr>
      <w:tr>
        <w:trPr>
          <w:tblHeader w:val="false"/>
        </w:trPr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年龄性别完整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2839</w:t>
            </w:r>
          </w:p>
        </w:tc>
      </w:tr>
      <w:tr>
        <w:trPr>
          <w:tblHeader w:val="false"/>
        </w:trPr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研究内两组各≥10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2049</w:t>
            </w:r>
          </w:p>
        </w:tc>
      </w:tr>
    </w:tbl>
    <w:p>
      <w:pPr>
        <w:spacing w:after="180" w:before="70"/>
        <w:jc w:val="center"/>
      </w:pPr>
      <w:r>
        <w:rPr>
          <w:rFonts w:ascii="SimHei" w:cs="SimHei" w:eastAsia="SimHei" w:hAnsi="SimHei"/>
          <w:b/>
          <w:bCs/>
          <w:sz w:val="17"/>
          <w:szCs w:val="17"/>
        </w:rPr>
        <w:t xml:space="preserve">表 1  队列筛选流程</w:t>
      </w:r>
    </w:p>
    <w:p>
      <w:pPr>
        <w:spacing w:after="110" w:line="340"/>
        <w:ind w:firstLine="440"/>
        <w:jc w:val="both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纳入标准</w:t>
      </w:r>
      <w:r>
        <w:rPr>
          <w:rFonts w:ascii="SimSun" w:cs="SimSun" w:eastAsia="SimSun" w:hAnsi="SimSun"/>
          <w:sz w:val="21"/>
          <w:szCs w:val="21"/>
        </w:rPr>
        <w:t xml:space="preserve">：① 西欧国家；② 无疾病（disease_status = healthy）；③ 明确的瘦或肥胖表型（排除超重中间态）；④ 年龄与性别记录完整；⑤ 该研究内两组各不少于 10 例。</w:t>
      </w:r>
    </w:p>
    <w:p>
      <w:pPr>
        <w:pStyle w:val="Heading2"/>
        <w:spacing w:after="110" w:before="200"/>
      </w:pPr>
      <w:r>
        <w:rPr>
          <w:rFonts w:ascii="SimHei" w:cs="SimHei" w:eastAsia="SimHei" w:hAnsi="SimHei"/>
          <w:b/>
          <w:bCs/>
          <w:sz w:val="24"/>
          <w:szCs w:val="24"/>
        </w:rPr>
        <w:t xml:space="preserve">1.2  合格数据队列来源</w:t>
      </w:r>
    </w:p>
    <w:p>
      <w:pPr>
        <w:spacing w:after="110" w:line="340"/>
        <w:ind w:firstLine="440"/>
        <w:jc w:val="both"/>
      </w:pPr>
      <w:r>
        <w:rPr>
          <w:rFonts w:ascii="SimSun" w:cs="SimSun" w:eastAsia="SimSun" w:hAnsi="SimSun"/>
          <w:sz w:val="21"/>
          <w:szCs w:val="21"/>
        </w:rPr>
        <w:t xml:space="preserve">最终纳入 </w:t>
      </w:r>
      <w:r>
        <w:rPr>
          <w:rFonts w:ascii="SimSun" w:cs="SimSun" w:eastAsia="SimSun" w:hAnsi="SimSun"/>
          <w:b/>
          <w:bCs/>
          <w:sz w:val="21"/>
          <w:szCs w:val="21"/>
        </w:rPr>
        <w:t xml:space="preserve">7 项独立研究</w:t>
      </w:r>
      <w:r>
        <w:rPr>
          <w:rFonts w:ascii="SimSun" w:cs="SimSun" w:eastAsia="SimSun" w:hAnsi="SimSun"/>
          <w:sz w:val="21"/>
          <w:szCs w:val="21"/>
        </w:rPr>
        <w:t xml:space="preserve">，覆盖 </w:t>
      </w:r>
      <w:r>
        <w:rPr>
          <w:rFonts w:ascii="SimSun" w:cs="SimSun" w:eastAsia="SimSun" w:hAnsi="SimSun"/>
          <w:b/>
          <w:bCs/>
          <w:sz w:val="21"/>
          <w:szCs w:val="21"/>
        </w:rPr>
        <w:t xml:space="preserve">4 个国家（DNK/GBR/IRL/NLD）</w:t>
      </w:r>
      <w:r>
        <w:rPr>
          <w:rFonts w:ascii="SimSun" w:cs="SimSun" w:eastAsia="SimSun" w:hAnsi="SimSun"/>
          <w:sz w:val="21"/>
          <w:szCs w:val="21"/>
        </w:rPr>
        <w:t xml:space="preserve">，全部为鸟枪法宏基因组测序（表 2）。原始队列中肥胖组年龄普遍高于瘦人组，故年龄校正为必需。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00"/>
        <w:gridCol w:w="700"/>
        <w:gridCol w:w="760"/>
        <w:gridCol w:w="1400"/>
        <w:gridCol w:w="1500"/>
        <w:gridCol w:w="1866"/>
      </w:tblGrid>
      <w:tr>
        <w:trPr>
          <w:tblHeader/>
        </w:trPr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/>
                <w:bCs/>
                <w:sz w:val="16"/>
                <w:szCs w:val="16"/>
              </w:rPr>
              <w:t xml:space="preserve">研究队列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6"/>
                <w:szCs w:val="16"/>
              </w:rPr>
              <w:t xml:space="preserve">国家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6"/>
                <w:szCs w:val="16"/>
              </w:rPr>
              <w:t xml:space="preserve">瘦(n)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6"/>
                <w:szCs w:val="16"/>
              </w:rPr>
              <w:t xml:space="preserve">肥胖(n)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6"/>
                <w:szCs w:val="16"/>
              </w:rPr>
              <w:t xml:space="preserve">年龄瘦/胖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6"/>
                <w:szCs w:val="16"/>
              </w:rPr>
              <w:t xml:space="preserve">女性比瘦/胖</w:t>
            </w:r>
          </w:p>
        </w:tc>
        <w:tc>
          <w:tcPr>
            <w:tcW w:type="dxa" w:w="18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6"/>
                <w:szCs w:val="16"/>
              </w:rPr>
              <w:t xml:space="preserve">BMI瘦/胖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AsnicarF_2021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GBR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538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144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42.7/49.2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0.77/0.74</w:t>
            </w:r>
          </w:p>
        </w:tc>
        <w:tc>
          <w:tcPr>
            <w:tcW w:type="dxa" w:w="18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22.2/34.9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LifeLinesDeep_2016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NLD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610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136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42.0/49.7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0.63/0.68</w:t>
            </w:r>
          </w:p>
        </w:tc>
        <w:tc>
          <w:tcPr>
            <w:tcW w:type="dxa" w:w="18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22.3/33.4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NielsenHB_2014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DNK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55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99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56.5/56.1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0.58/0.49</w:t>
            </w:r>
          </w:p>
        </w:tc>
        <w:tc>
          <w:tcPr>
            <w:tcW w:type="dxa" w:w="18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22.5/33.6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LeChatelierE_2013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DNK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48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94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56.2/55.7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0.62/0.52</w:t>
            </w:r>
          </w:p>
        </w:tc>
        <w:tc>
          <w:tcPr>
            <w:tcW w:type="dxa" w:w="18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22.5/33.7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HansenLBS_2018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DNK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70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53.4/52.7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0.88/0.49</w:t>
            </w:r>
          </w:p>
        </w:tc>
        <w:tc>
          <w:tcPr>
            <w:tcW w:type="dxa" w:w="18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23.0/32.1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KeohaneDM_2020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IRL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60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27.8/44.5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0.56/0.58</w:t>
            </w:r>
          </w:p>
        </w:tc>
        <w:tc>
          <w:tcPr>
            <w:tcW w:type="dxa" w:w="18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22.6/35.0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XieH_2016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GBR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94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60.3/59.4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1.0/1.0</w:t>
            </w:r>
          </w:p>
        </w:tc>
        <w:tc>
          <w:tcPr>
            <w:tcW w:type="dxa" w:w="18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22.1/33.4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合计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1380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628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8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</w:tbl>
    <w:p>
      <w:pPr>
        <w:spacing w:after="180" w:before="70"/>
        <w:jc w:val="center"/>
      </w:pPr>
      <w:r>
        <w:rPr>
          <w:rFonts w:ascii="SimHei" w:cs="SimHei" w:eastAsia="SimHei" w:hAnsi="SimHei"/>
          <w:b/>
          <w:bCs/>
          <w:sz w:val="17"/>
          <w:szCs w:val="17"/>
        </w:rPr>
        <w:t xml:space="preserve">表 2  合格数据队列来源与人口学特征</w:t>
      </w:r>
    </w:p>
    <w:p>
      <w:pPr>
        <w:pStyle w:val="Heading2"/>
        <w:spacing w:after="110" w:before="200"/>
      </w:pPr>
      <w:r>
        <w:rPr>
          <w:rFonts w:ascii="SimHei" w:cs="SimHei" w:eastAsia="SimHei" w:hAnsi="SimHei"/>
          <w:b/>
          <w:bCs/>
          <w:sz w:val="24"/>
          <w:szCs w:val="24"/>
        </w:rPr>
        <w:t xml:space="preserve">1.3  年龄性别校正（双重独立处理）</w:t>
      </w:r>
    </w:p>
    <w:p>
      <w:pPr>
        <w:spacing w:after="110" w:line="340"/>
        <w:ind w:firstLine="440"/>
        <w:jc w:val="both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（1）研究内 1:1 匹配。</w:t>
      </w:r>
      <w:r>
        <w:rPr>
          <w:rFonts w:ascii="SimSun" w:cs="SimSun" w:eastAsia="SimSun" w:hAnsi="SimSun"/>
          <w:sz w:val="21"/>
          <w:szCs w:val="21"/>
        </w:rPr>
        <w:t xml:space="preserve">对每例肥胖受试者，在</w:t>
      </w:r>
      <w:r>
        <w:rPr>
          <w:rFonts w:ascii="SimSun" w:cs="SimSun" w:eastAsia="SimSun" w:hAnsi="SimSun"/>
          <w:b/>
          <w:bCs/>
          <w:sz w:val="21"/>
          <w:szCs w:val="21"/>
        </w:rPr>
        <w:t xml:space="preserve">同一研究内</w:t>
      </w:r>
      <w:r>
        <w:rPr>
          <w:rFonts w:ascii="SimSun" w:cs="SimSun" w:eastAsia="SimSun" w:hAnsi="SimSun"/>
          <w:sz w:val="21"/>
          <w:szCs w:val="21"/>
        </w:rPr>
        <w:t xml:space="preserve">匹配同性别、年龄差不超过 5 岁的瘦人（最近邻，无放回抽样）。匹配后样本量 </w:t>
      </w:r>
      <w:r>
        <w:rPr>
          <w:rFonts w:ascii="SimSun" w:cs="SimSun" w:eastAsia="SimSun" w:hAnsi="SimSun"/>
          <w:b/>
          <w:bCs/>
          <w:sz w:val="21"/>
          <w:szCs w:val="21"/>
        </w:rPr>
        <w:t xml:space="preserve">n=904（瘦 452 / 肥胖 452）</w:t>
      </w:r>
      <w:r>
        <w:rPr>
          <w:rFonts w:ascii="SimSun" w:cs="SimSun" w:eastAsia="SimSun" w:hAnsi="SimSun"/>
          <w:sz w:val="21"/>
          <w:szCs w:val="21"/>
        </w:rPr>
        <w:t xml:space="preserve">，两组平均年龄 </w:t>
      </w:r>
      <w:r>
        <w:rPr>
          <w:rFonts w:ascii="SimSun" w:cs="SimSun" w:eastAsia="SimSun" w:hAnsi="SimSun"/>
          <w:b/>
          <w:bCs/>
          <w:sz w:val="21"/>
          <w:szCs w:val="21"/>
        </w:rPr>
        <w:t xml:space="preserve">51.2 岁与 51.4 岁</w:t>
      </w:r>
      <w:r>
        <w:rPr>
          <w:rFonts w:ascii="SimSun" w:cs="SimSun" w:eastAsia="SimSun" w:hAnsi="SimSun"/>
          <w:sz w:val="21"/>
          <w:szCs w:val="21"/>
        </w:rPr>
        <w:t xml:space="preserve">，女性比例均为 </w:t>
      </w:r>
      <w:r>
        <w:rPr>
          <w:rFonts w:ascii="SimSun" w:cs="SimSun" w:eastAsia="SimSun" w:hAnsi="SimSun"/>
          <w:b/>
          <w:bCs/>
          <w:sz w:val="21"/>
          <w:szCs w:val="21"/>
        </w:rPr>
        <w:t xml:space="preserve">0.7</w:t>
      </w:r>
      <w:r>
        <w:rPr>
          <w:rFonts w:ascii="SimSun" w:cs="SimSun" w:eastAsia="SimSun" w:hAnsi="SimSun"/>
          <w:sz w:val="21"/>
          <w:szCs w:val="21"/>
        </w:rPr>
        <w:t xml:space="preserve">，达到完全平衡。研究内匹配的额外优势在于同时消除测序中心与批次效应。</w:t>
      </w:r>
    </w:p>
    <w:p>
      <w:pPr>
        <w:spacing w:after="110" w:line="340"/>
        <w:ind w:firstLine="440"/>
        <w:jc w:val="both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（2）回归协变量校正。</w:t>
      </w:r>
      <w:r>
        <w:rPr>
          <w:rFonts w:ascii="SimSun" w:cs="SimSun" w:eastAsia="SimSun" w:hAnsi="SimSun"/>
          <w:sz w:val="21"/>
          <w:szCs w:val="21"/>
        </w:rPr>
        <w:t xml:space="preserve">差异分析模型中再次纳入年龄、性别与研究固定效应，形成双重保障。</w:t>
      </w:r>
    </w:p>
    <w:p>
      <w:pPr>
        <w:pStyle w:val="Heading2"/>
        <w:spacing w:after="110" w:before="200"/>
      </w:pPr>
      <w:r>
        <w:rPr>
          <w:rFonts w:ascii="SimHei" w:cs="SimHei" w:eastAsia="SimHei" w:hAnsi="SimHei"/>
          <w:b/>
          <w:bCs/>
          <w:sz w:val="24"/>
          <w:szCs w:val="24"/>
        </w:rPr>
        <w:t xml:space="preserve">1.4  差异丰度统计</w:t>
      </w:r>
    </w:p>
    <w:p>
      <w:pPr>
        <w:spacing w:after="110" w:line="340"/>
        <w:ind w:firstLine="440"/>
        <w:jc w:val="both"/>
      </w:pPr>
      <w:r>
        <w:rPr>
          <w:rFonts w:ascii="SimSun" w:cs="SimSun" w:eastAsia="SimSun" w:hAnsi="SimSun"/>
          <w:sz w:val="21"/>
          <w:szCs w:val="21"/>
        </w:rPr>
        <w:t xml:space="preserve">物种筛选：匹配队列内流行率不低于 10%，共 </w:t>
      </w:r>
      <w:r>
        <w:rPr>
          <w:rFonts w:ascii="SimSun" w:cs="SimSun" w:eastAsia="SimSun" w:hAnsi="SimSun"/>
          <w:b/>
          <w:bCs/>
          <w:sz w:val="21"/>
          <w:szCs w:val="21"/>
        </w:rPr>
        <w:t xml:space="preserve">199 个物种</w:t>
      </w:r>
      <w:r>
        <w:rPr>
          <w:rFonts w:ascii="SimSun" w:cs="SimSun" w:eastAsia="SimSun" w:hAnsi="SimSun"/>
          <w:sz w:val="21"/>
          <w:szCs w:val="21"/>
        </w:rPr>
        <w:t xml:space="preserve">进入检验。主模型为 OLS 回归：log10(相对丰度 + 0.001) ~ 肥胖 + 年龄 + 性别 + 研究，提取肥胖项系数与 P 值，行 </w:t>
      </w:r>
      <w:r>
        <w:rPr>
          <w:rFonts w:ascii="SimSun" w:cs="SimSun" w:eastAsia="SimSun" w:hAnsi="SimSun"/>
          <w:b/>
          <w:bCs/>
          <w:sz w:val="21"/>
          <w:szCs w:val="21"/>
        </w:rPr>
        <w:t xml:space="preserve">Benjamini-Hochberg FDR</w:t>
      </w:r>
      <w:r>
        <w:rPr>
          <w:rFonts w:ascii="SimSun" w:cs="SimSun" w:eastAsia="SimSun" w:hAnsi="SimSun"/>
          <w:sz w:val="21"/>
          <w:szCs w:val="21"/>
        </w:rPr>
        <w:t xml:space="preserve"> 多重检验校正。</w:t>
      </w:r>
    </w:p>
    <w:p>
      <w:pPr>
        <w:spacing w:after="110" w:line="340"/>
        <w:ind w:firstLine="440"/>
        <w:jc w:val="both"/>
      </w:pPr>
      <w:r>
        <w:rPr>
          <w:rFonts w:ascii="SimSun" w:cs="SimSun" w:eastAsia="SimSun" w:hAnsi="SimSun"/>
          <w:sz w:val="21"/>
          <w:szCs w:val="21"/>
        </w:rPr>
        <w:t xml:space="preserve">稳健性交叉验证：在各研究内独立计算 </w:t>
      </w:r>
      <w:r>
        <w:rPr>
          <w:rFonts w:ascii="SimSun" w:cs="SimSun" w:eastAsia="SimSun" w:hAnsi="SimSun"/>
          <w:b/>
          <w:bCs/>
          <w:sz w:val="21"/>
          <w:szCs w:val="21"/>
        </w:rPr>
        <w:t xml:space="preserve">Hedges g</w:t>
      </w:r>
      <w:r>
        <w:rPr>
          <w:rFonts w:ascii="SimSun" w:cs="SimSun" w:eastAsia="SimSun" w:hAnsi="SimSun"/>
          <w:sz w:val="21"/>
          <w:szCs w:val="21"/>
        </w:rPr>
        <w:t xml:space="preserve">（含小样本偏倚校正因子），再以 </w:t>
      </w:r>
      <w:r>
        <w:rPr>
          <w:rFonts w:ascii="SimSun" w:cs="SimSun" w:eastAsia="SimSun" w:hAnsi="SimSun"/>
          <w:b/>
          <w:bCs/>
          <w:sz w:val="21"/>
          <w:szCs w:val="21"/>
        </w:rPr>
        <w:t xml:space="preserve">DerSimonian-Laird 随机效应模型</w:t>
      </w:r>
      <w:r>
        <w:rPr>
          <w:rFonts w:ascii="SimSun" w:cs="SimSun" w:eastAsia="SimSun" w:hAnsi="SimSun"/>
          <w:sz w:val="21"/>
          <w:szCs w:val="21"/>
        </w:rPr>
        <w:t xml:space="preserve">合并，报告 95% 置信区间与异质性指标 I²。</w:t>
      </w:r>
      <w:r>
        <w:rPr>
          <w:rFonts w:ascii="SimSun" w:cs="SimSun" w:eastAsia="SimSun" w:hAnsi="SimSun"/>
          <w:b/>
          <w:bCs/>
          <w:sz w:val="21"/>
          <w:szCs w:val="21"/>
        </w:rPr>
        <w:t xml:space="preserve">稳健差异菌</w:t>
      </w:r>
      <w:r>
        <w:rPr>
          <w:rFonts w:ascii="SimSun" w:cs="SimSun" w:eastAsia="SimSun" w:hAnsi="SimSun"/>
          <w:sz w:val="21"/>
          <w:szCs w:val="21"/>
        </w:rPr>
        <w:t xml:space="preserve">须同时满足三项条件：FDR&lt;0.05；meta 合并 95%CI 排除 0；两种方法方向一致。</w:t>
      </w:r>
    </w:p>
    <w:p>
      <w:pPr>
        <w:pStyle w:val="Heading2"/>
        <w:spacing w:after="110" w:before="200"/>
      </w:pPr>
      <w:r>
        <w:rPr>
          <w:rFonts w:ascii="SimHei" w:cs="SimHei" w:eastAsia="SimHei" w:hAnsi="SimHei"/>
          <w:b/>
          <w:bCs/>
          <w:sz w:val="24"/>
          <w:szCs w:val="24"/>
        </w:rPr>
        <w:t xml:space="preserve">1.5  AI 验证</w:t>
      </w:r>
    </w:p>
    <w:p>
      <w:pPr>
        <w:spacing w:after="110" w:line="340"/>
        <w:ind w:firstLine="440"/>
        <w:jc w:val="both"/>
      </w:pPr>
      <w:r>
        <w:rPr>
          <w:rFonts w:ascii="SimSun" w:cs="SimSun" w:eastAsia="SimSun" w:hAnsi="SimSun"/>
          <w:sz w:val="21"/>
          <w:szCs w:val="21"/>
        </w:rPr>
        <w:t xml:space="preserve">在匹配队列上训练平衡随机森林（500 树，最大深度 6，最小叶节点 3），采用</w:t>
      </w:r>
      <w:r>
        <w:rPr>
          <w:rFonts w:ascii="SimSun" w:cs="SimSun" w:eastAsia="SimSun" w:hAnsi="SimSun"/>
          <w:b/>
          <w:bCs/>
          <w:sz w:val="21"/>
          <w:szCs w:val="21"/>
        </w:rPr>
        <w:t xml:space="preserve">留一研究交叉验证</w:t>
      </w:r>
      <w:r>
        <w:rPr>
          <w:rFonts w:ascii="SimSun" w:cs="SimSun" w:eastAsia="SimSun" w:hAnsi="SimSun"/>
          <w:sz w:val="21"/>
          <w:szCs w:val="21"/>
        </w:rPr>
        <w:t xml:space="preserve">——每次留出一整项研究作为独立测试集，从设计上杜绝批次泄漏。同时以仅年龄与性别为特征训练对照模型，用以检验人口学混杂是否已被彻底消除。</w:t>
      </w:r>
    </w:p>
    <w:p>
      <w:pPr>
        <w:pStyle w:val="Heading1"/>
        <w:spacing w:after="150" w:before="300"/>
      </w:pPr>
      <w:r>
        <w:rPr>
          <w:rFonts w:ascii="SimHei" w:cs="SimHei" w:eastAsia="SimHei" w:hAnsi="SimHei"/>
          <w:b/>
          <w:bCs/>
          <w:sz w:val="29"/>
          <w:szCs w:val="29"/>
        </w:rPr>
        <w:t xml:space="preserve">2  结果</w:t>
      </w:r>
    </w:p>
    <w:p>
      <w:pPr>
        <w:spacing w:after="50" w:before="150"/>
        <w:jc w:val="center"/>
      </w:pPr>
      <w:r>
        <w:drawing>
          <wp:inline distT="0" distB="0" distL="0" distR="0">
            <wp:extent cx="5524500" cy="3829050"/>
            <wp:effectExtent t="0" r="0" b="0" l="0"/>
            <wp:docPr id="1" name="fig17_we_healthy_full.png" descr="图 1  西欧健康队列胖瘦差异菌群总览：(A) 校正后差异丰度火山图；(B) AI 留一研究验证；(C) 稳健瘦人富集菌森林图；(D) 稳健肥胖富集菌森林图" title="图 1  西欧健康队列胖瘦差异菌群总览：(A) 校正后差异丰度火山图；(B) AI 留一研究验证；(C) 稳健瘦人富集菌森林图；(D) 稳健肥胖富集菌森林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90"/>
        <w:jc w:val="center"/>
      </w:pPr>
      <w:r>
        <w:rPr>
          <w:rFonts w:ascii="SimHei" w:cs="SimHei" w:eastAsia="SimHei" w:hAnsi="SimHei"/>
          <w:b/>
          <w:bCs/>
          <w:sz w:val="18"/>
          <w:szCs w:val="18"/>
        </w:rPr>
        <w:t xml:space="preserve">图 1  西欧健康队列胖瘦差异菌群总览：(A) 校正后差异丰度火山图；(B) AI 留一研究验证；(C) 稳健瘦人富集菌森林图；(D) 稳健肥胖富集菌森林图</w:t>
      </w:r>
    </w:p>
    <w:p>
      <w:pPr>
        <w:pStyle w:val="Heading2"/>
        <w:spacing w:after="110" w:before="200"/>
      </w:pPr>
      <w:r>
        <w:rPr>
          <w:rFonts w:ascii="SimHei" w:cs="SimHei" w:eastAsia="SimHei" w:hAnsi="SimHei"/>
          <w:b/>
          <w:bCs/>
          <w:sz w:val="24"/>
          <w:szCs w:val="24"/>
        </w:rPr>
        <w:t xml:space="preserve">2.1  混杂消除的关键验证</w:t>
      </w:r>
    </w:p>
    <w:p>
      <w:pPr>
        <w:spacing w:after="110" w:line="340"/>
        <w:ind w:firstLine="440"/>
        <w:jc w:val="both"/>
      </w:pPr>
      <w:r>
        <w:rPr>
          <w:rFonts w:ascii="SimSun" w:cs="SimSun" w:eastAsia="SimSun" w:hAnsi="SimSun"/>
          <w:sz w:val="21"/>
          <w:szCs w:val="21"/>
        </w:rPr>
        <w:t xml:space="preserve">匹配前，仅使用年龄与性别即可达到 AUC 0.722，高于菌群单独模型；</w:t>
      </w:r>
      <w:r>
        <w:rPr>
          <w:rFonts w:ascii="SimSun" w:cs="SimSun" w:eastAsia="SimSun" w:hAnsi="SimSun"/>
          <w:b/>
          <w:bCs/>
          <w:sz w:val="21"/>
          <w:szCs w:val="21"/>
        </w:rPr>
        <w:t xml:space="preserve">匹配后，人口学模型 AUC 降至 0.527，接近随机水平，而菌群模型仍达 0.749</w:t>
      </w:r>
      <w:r>
        <w:rPr>
          <w:rFonts w:ascii="SimSun" w:cs="SimSun" w:eastAsia="SimSun" w:hAnsi="SimSun"/>
          <w:sz w:val="21"/>
          <w:szCs w:val="21"/>
        </w:rPr>
        <w:t xml:space="preserve">（表 3、图 1B）。这一对照证明：观察到的菌群差异并非年龄或性别的副产品，而是独立的生物学信号。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226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/>
                <w:bCs/>
                <w:sz w:val="16"/>
                <w:szCs w:val="16"/>
              </w:rPr>
              <w:t xml:space="preserve">模型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6"/>
                <w:szCs w:val="16"/>
              </w:rPr>
              <w:t xml:space="preserve">留一研究 AUC</w:t>
            </w:r>
          </w:p>
        </w:tc>
        <w:tc>
          <w:tcPr>
            <w:tcW w:type="dxa" w:w="4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6"/>
                <w:szCs w:val="16"/>
              </w:rPr>
              <w:t xml:space="preserve">解读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仅年龄 + 性别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0.527</w:t>
            </w:r>
          </w:p>
        </w:tc>
        <w:tc>
          <w:tcPr>
            <w:tcW w:type="dxa" w:w="4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接近随机，混杂已消除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菌群（199 物种）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0.749</w:t>
            </w:r>
          </w:p>
        </w:tc>
        <w:tc>
          <w:tcPr>
            <w:tcW w:type="dxa" w:w="4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跨研究可泛化的独立信号</w:t>
            </w:r>
          </w:p>
        </w:tc>
      </w:tr>
    </w:tbl>
    <w:p>
      <w:pPr>
        <w:spacing w:after="180" w:before="70"/>
        <w:jc w:val="center"/>
      </w:pPr>
      <w:r>
        <w:rPr>
          <w:rFonts w:ascii="SimHei" w:cs="SimHei" w:eastAsia="SimHei" w:hAnsi="SimHei"/>
          <w:b/>
          <w:bCs/>
          <w:sz w:val="17"/>
          <w:szCs w:val="17"/>
        </w:rPr>
        <w:t xml:space="preserve">表 3  匹配队列上的 AI 判别效力对照</w:t>
      </w:r>
    </w:p>
    <w:p>
      <w:pPr>
        <w:spacing w:after="110" w:line="340"/>
        <w:ind w:firstLine="440"/>
        <w:jc w:val="both"/>
      </w:pPr>
      <w:r>
        <w:rPr>
          <w:rFonts w:ascii="SimSun" w:cs="SimSun" w:eastAsia="SimSun" w:hAnsi="SimSun"/>
          <w:sz w:val="21"/>
          <w:szCs w:val="21"/>
        </w:rPr>
        <w:t xml:space="preserve">各研究留出表现存在系统性差异：丹麦三项研究（LeChatelierE、HansenLBS、NielsenHB，源自 MetaHIT 计划）AUC 达 0.89–1.00，而人群队列（AsnicarF 0.67、LifeLinesDeep 0.66、XieH 0.65）明显较低。前者以“胖瘦对比”为设计目标、招募极端表型，故可分性偏高；</w:t>
      </w:r>
      <w:r>
        <w:rPr>
          <w:rFonts w:ascii="SimSun" w:cs="SimSun" w:eastAsia="SimSun" w:hAnsi="SimSun"/>
          <w:b/>
          <w:bCs/>
          <w:sz w:val="21"/>
          <w:szCs w:val="21"/>
        </w:rPr>
        <w:t xml:space="preserve">人群队列的估计更接近真实世界效力</w:t>
      </w:r>
      <w:r>
        <w:rPr>
          <w:rFonts w:ascii="SimSun" w:cs="SimSun" w:eastAsia="SimSun" w:hAnsi="SimSun"/>
          <w:sz w:val="21"/>
          <w:szCs w:val="21"/>
        </w:rPr>
        <w:t xml:space="preserve">。KeohaneDM 匹配后样本极少，其 AUC 0.48 不具解释力。</w:t>
      </w:r>
    </w:p>
    <w:p>
      <w:pPr>
        <w:pStyle w:val="Heading2"/>
        <w:spacing w:after="110" w:before="200"/>
      </w:pPr>
      <w:r>
        <w:rPr>
          <w:rFonts w:ascii="SimHei" w:cs="SimHei" w:eastAsia="SimHei" w:hAnsi="SimHei"/>
          <w:b/>
          <w:bCs/>
          <w:sz w:val="24"/>
          <w:szCs w:val="24"/>
        </w:rPr>
        <w:t xml:space="preserve">2.2  差异菌群</w:t>
      </w:r>
    </w:p>
    <w:p>
      <w:pPr>
        <w:spacing w:after="110" w:line="340"/>
        <w:ind w:firstLine="440"/>
        <w:jc w:val="both"/>
      </w:pPr>
      <w:r>
        <w:rPr>
          <w:rFonts w:ascii="SimSun" w:cs="SimSun" w:eastAsia="SimSun" w:hAnsi="SimSun"/>
          <w:sz w:val="21"/>
          <w:szCs w:val="21"/>
        </w:rPr>
        <w:t xml:space="preserve">在 199 个受检物种中，</w:t>
      </w:r>
      <w:r>
        <w:rPr>
          <w:rFonts w:ascii="SimSun" w:cs="SimSun" w:eastAsia="SimSun" w:hAnsi="SimSun"/>
          <w:b/>
          <w:bCs/>
          <w:sz w:val="21"/>
          <w:szCs w:val="21"/>
        </w:rPr>
        <w:t xml:space="preserve">41 个</w:t>
      </w:r>
      <w:r>
        <w:rPr>
          <w:rFonts w:ascii="SimSun" w:cs="SimSun" w:eastAsia="SimSun" w:hAnsi="SimSun"/>
          <w:sz w:val="21"/>
          <w:szCs w:val="21"/>
        </w:rPr>
        <w:t xml:space="preserve">达到 FDR&lt;0.05；其中 </w:t>
      </w:r>
      <w:r>
        <w:rPr>
          <w:rFonts w:ascii="SimSun" w:cs="SimSun" w:eastAsia="SimSun" w:hAnsi="SimSun"/>
          <w:b/>
          <w:bCs/>
          <w:sz w:val="21"/>
          <w:szCs w:val="21"/>
        </w:rPr>
        <w:t xml:space="preserve">37 个</w:t>
      </w:r>
      <w:r>
        <w:rPr>
          <w:rFonts w:ascii="SimSun" w:cs="SimSun" w:eastAsia="SimSun" w:hAnsi="SimSun"/>
          <w:sz w:val="21"/>
          <w:szCs w:val="21"/>
        </w:rPr>
        <w:t xml:space="preserve">同时通过随机效应 meta 验证，判定为稳健差异菌（表 4、表 5）。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900"/>
        <w:gridCol w:w="1600"/>
        <w:gridCol w:w="1500"/>
        <w:gridCol w:w="1100"/>
        <w:gridCol w:w="926"/>
      </w:tblGrid>
      <w:tr>
        <w:trPr>
          <w:tblHeader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/>
                <w:bCs/>
                <w:sz w:val="16"/>
                <w:szCs w:val="16"/>
              </w:rPr>
              <w:t xml:space="preserve">物种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6"/>
                <w:szCs w:val="16"/>
              </w:rPr>
              <w:t xml:space="preserve">合并 g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6"/>
                <w:szCs w:val="16"/>
              </w:rPr>
              <w:t xml:space="preserve">95% CI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6"/>
                <w:szCs w:val="16"/>
              </w:rPr>
              <w:t xml:space="preserve">倍数变化(胖/瘦)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6"/>
                <w:szCs w:val="16"/>
              </w:rPr>
              <w:t xml:space="preserve">FDR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6"/>
                <w:szCs w:val="16"/>
              </w:rPr>
              <w:t xml:space="preserve">I²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Firmicutes bacterium CAG 95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0.42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0.17 ~ 0.66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1.1e-5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62%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Methanobrevibacter smithii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0.37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0.24 ~ 0.50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0.29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3.4e-6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0%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Roseburia sp CAG 303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0.36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0.20 ~ 0.52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0.59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1.5e-5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21%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Oscillibacter sp CAG 241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0.35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0.11 ~ 0.58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0.48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1.1e-4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59%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Roseburia sp CAG 309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0.34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0.13 ~ 0.55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0.56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1.1e-4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49%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Fretibacterium fastidiosum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0.32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0.12 ~ 0.52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0.87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7.9e-3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25%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Bacteroides cellulosilyticus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0.31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0.18 ~ 0.44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0.41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3.1e-4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0%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Firmicutes bacterium CAG 238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0.29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0.16 ~ 0.42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0.58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9.5e-4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0%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Butyrivibrio crossotus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0.28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0.15 ~ 0.41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0.44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1.1e-3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0%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Eubacterium eligens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0.27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0.14 ~ 0.40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0.49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1.1e-3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0%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Intestinimonas butyriciproducens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0.27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0.13 ~ 0.40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0.65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1.1e-3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4%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Ruminococcaceae bacterium D5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0.26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0.13 ~ 0.39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0.69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9.4e-4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0%</w:t>
            </w:r>
          </w:p>
        </w:tc>
      </w:tr>
    </w:tbl>
    <w:p>
      <w:pPr>
        <w:spacing w:after="180" w:before="70"/>
        <w:jc w:val="center"/>
      </w:pPr>
      <w:r>
        <w:rPr>
          <w:rFonts w:ascii="SimHei" w:cs="SimHei" w:eastAsia="SimHei" w:hAnsi="SimHei"/>
          <w:b/>
          <w:bCs/>
          <w:sz w:val="17"/>
          <w:szCs w:val="17"/>
        </w:rPr>
        <w:t xml:space="preserve">表 4  稳健瘦人富集菌（按合并效应量排序，前 12）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900"/>
        <w:gridCol w:w="1600"/>
        <w:gridCol w:w="1500"/>
        <w:gridCol w:w="1100"/>
        <w:gridCol w:w="926"/>
      </w:tblGrid>
      <w:tr>
        <w:trPr>
          <w:tblHeader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/>
                <w:bCs/>
                <w:sz w:val="16"/>
                <w:szCs w:val="16"/>
              </w:rPr>
              <w:t xml:space="preserve">物种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6"/>
                <w:szCs w:val="16"/>
              </w:rPr>
              <w:t xml:space="preserve">合并 g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6"/>
                <w:szCs w:val="16"/>
              </w:rPr>
              <w:t xml:space="preserve">95% CI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6"/>
                <w:szCs w:val="16"/>
              </w:rPr>
              <w:t xml:space="preserve">倍数变化(胖/瘦)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6"/>
                <w:szCs w:val="16"/>
              </w:rPr>
              <w:t xml:space="preserve">FDR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6"/>
                <w:szCs w:val="16"/>
              </w:rPr>
              <w:t xml:space="preserve">I²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Ruminococcus gnavus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-0.31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-0.49 ~ -0.12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2.05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1.1e-4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39%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Streptococcus vestibularis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-0.25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-0.40 ~ -0.11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1.35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1.5e-3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10%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Roseburia intestinalis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-0.25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-0.45 ~ -0.05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1.74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2.1e-2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47%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Eubacterium rectale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-0.23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-0.36 ~ -0.10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1.81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4.6e-3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0%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Flavonifractor plautii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-0.23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-0.36 ~ -0.10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1.57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7.9e-3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0%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Clostridium sp CAG 58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-0.20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-0.33 ~ -0.07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1.56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1.5e-2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0%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Allisonella histaminiformans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-0.17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-0.33 ~ -0.01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1.21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4.3e-2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25%</w:t>
            </w:r>
          </w:p>
        </w:tc>
      </w:tr>
    </w:tbl>
    <w:p>
      <w:pPr>
        <w:spacing w:after="180" w:before="70"/>
        <w:jc w:val="center"/>
      </w:pPr>
      <w:r>
        <w:rPr>
          <w:rFonts w:ascii="SimHei" w:cs="SimHei" w:eastAsia="SimHei" w:hAnsi="SimHei"/>
          <w:b/>
          <w:bCs/>
          <w:sz w:val="17"/>
          <w:szCs w:val="17"/>
        </w:rPr>
        <w:t xml:space="preserve">表 5  稳健肥胖富集菌（全部）</w:t>
      </w:r>
    </w:p>
    <w:p>
      <w:pPr>
        <w:pStyle w:val="Heading2"/>
        <w:spacing w:after="110" w:before="200"/>
      </w:pPr>
      <w:r>
        <w:rPr>
          <w:rFonts w:ascii="SimHei" w:cs="SimHei" w:eastAsia="SimHei" w:hAnsi="SimHei"/>
          <w:b/>
          <w:bCs/>
          <w:sz w:val="24"/>
          <w:szCs w:val="24"/>
        </w:rPr>
        <w:t xml:space="preserve">2.3  生物学发现</w:t>
      </w:r>
    </w:p>
    <w:p>
      <w:pPr>
        <w:spacing w:after="110" w:line="340"/>
        <w:ind w:firstLine="440"/>
        <w:jc w:val="both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（1）产甲烷古菌为最稳健瘦人标志。</w:t>
      </w:r>
      <w:r>
        <w:rPr>
          <w:rFonts w:ascii="SimSun" w:cs="SimSun" w:eastAsia="SimSun" w:hAnsi="SimSun"/>
          <w:sz w:val="21"/>
          <w:szCs w:val="21"/>
        </w:rPr>
        <w:t xml:space="preserve"> Methanobrevibacter smithii 合并效应量 +0.37，异质性 I²=0%，肥胖者丰度仅为瘦人的 0.29 倍（FDR=3.4×10⁻⁶），各研究结论高度一致。</w:t>
      </w:r>
    </w:p>
    <w:p>
      <w:pPr>
        <w:spacing w:after="110" w:line="340"/>
        <w:ind w:firstLine="440"/>
        <w:jc w:val="both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（2）多个丁酸产生菌为瘦人富集且异质性为零。</w:t>
      </w:r>
      <w:r>
        <w:rPr>
          <w:rFonts w:ascii="SimSun" w:cs="SimSun" w:eastAsia="SimSun" w:hAnsi="SimSun"/>
          <w:sz w:val="21"/>
          <w:szCs w:val="21"/>
        </w:rPr>
        <w:t xml:space="preserve"> 包括 Butyrivibrio crossotus（0.44 倍，I²=0%）、Eubacterium eligens（0.49 倍，I²=0%）、Intestinimonas butyriciproducens 及 Roseburia 属 CAG_303/309 分支。</w:t>
      </w:r>
    </w:p>
    <w:p>
      <w:pPr>
        <w:spacing w:after="110" w:line="340"/>
        <w:ind w:firstLine="440"/>
        <w:jc w:val="both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（3）反直觉发现：丁酸产生菌存在种间方向分化。</w:t>
      </w:r>
      <w:r>
        <w:rPr>
          <w:rFonts w:ascii="SimSun" w:cs="SimSun" w:eastAsia="SimSun" w:hAnsi="SimSun"/>
          <w:sz w:val="21"/>
          <w:szCs w:val="21"/>
        </w:rPr>
        <w:t xml:space="preserve"> Roseburia intestinalis（1.74 倍）与 Eubacterium rectale（1.81 倍）虽同属经典丁酸产生菌，却在肥胖者中显著富集。这表明“丁酸产生菌等同于瘦表型”的属级叙事过于简化，</w:t>
      </w:r>
      <w:r>
        <w:rPr>
          <w:rFonts w:ascii="SimSun" w:cs="SimSun" w:eastAsia="SimSun" w:hAnsi="SimSun"/>
          <w:b/>
          <w:bCs/>
          <w:sz w:val="21"/>
          <w:szCs w:val="21"/>
        </w:rPr>
        <w:t xml:space="preserve">菌株组合设计必须下沉到种级分辨率</w:t>
      </w:r>
      <w:r>
        <w:rPr>
          <w:rFonts w:ascii="SimSun" w:cs="SimSun" w:eastAsia="SimSun" w:hAnsi="SimSun"/>
          <w:sz w:val="21"/>
          <w:szCs w:val="21"/>
        </w:rPr>
        <w:t xml:space="preserve">，否则存在方向性风险。</w:t>
      </w:r>
    </w:p>
    <w:p>
      <w:pPr>
        <w:spacing w:after="110" w:line="340"/>
        <w:ind w:firstLine="440"/>
        <w:jc w:val="both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（4）Ruminococcus gnavus 在肥胖者中丰度翻倍</w:t>
      </w:r>
      <w:r>
        <w:rPr>
          <w:rFonts w:ascii="SimSun" w:cs="SimSun" w:eastAsia="SimSun" w:hAnsi="SimSun"/>
          <w:sz w:val="21"/>
          <w:szCs w:val="21"/>
        </w:rPr>
        <w:t xml:space="preserve">（2.05 倍，FDR=1.1×10⁻⁴），为最强肥胖标志。该菌是已知的黏液降解与促炎菌，与肥胖低度炎症机制相吻合。</w:t>
      </w:r>
    </w:p>
    <w:p>
      <w:pPr>
        <w:spacing w:after="110" w:line="340"/>
        <w:ind w:firstLine="440"/>
        <w:jc w:val="both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（5）口腔菌易位信号在严格校正后大幅减弱。</w:t>
      </w:r>
      <w:r>
        <w:rPr>
          <w:rFonts w:ascii="SimSun" w:cs="SimSun" w:eastAsia="SimSun" w:hAnsi="SimSun"/>
          <w:sz w:val="21"/>
          <w:szCs w:val="21"/>
        </w:rPr>
        <w:t xml:space="preserve"> 仅 Streptococcus vestibularis 保留统计显著（1.35 倍）。此前在未排除 T2D、未做匹配的分析中观察到的强口腔链球菌信号，主要由疾病状态与人口学差异驱动，本研究予以修正。</w:t>
      </w:r>
    </w:p>
    <w:p>
      <w:pPr>
        <w:pStyle w:val="Heading1"/>
        <w:spacing w:after="150" w:before="300"/>
      </w:pPr>
      <w:r>
        <w:rPr>
          <w:rFonts w:ascii="SimHei" w:cs="SimHei" w:eastAsia="SimHei" w:hAnsi="SimHei"/>
          <w:b/>
          <w:bCs/>
          <w:sz w:val="29"/>
          <w:szCs w:val="29"/>
        </w:rPr>
        <w:t xml:space="preserve">3  自下而上菌株性质程序的对比验证</w:t>
      </w:r>
    </w:p>
    <w:p>
      <w:pPr>
        <w:pStyle w:val="Heading2"/>
        <w:spacing w:after="110" w:before="200"/>
      </w:pPr>
      <w:r>
        <w:rPr>
          <w:rFonts w:ascii="SimHei" w:cs="SimHei" w:eastAsia="SimHei" w:hAnsi="SimHei"/>
          <w:b/>
          <w:bCs/>
          <w:sz w:val="24"/>
          <w:szCs w:val="24"/>
        </w:rPr>
        <w:t xml:space="preserve">3.1  验证对象与设计</w:t>
      </w:r>
    </w:p>
    <w:p>
      <w:pPr>
        <w:spacing w:after="110" w:line="340"/>
        <w:ind w:firstLine="440"/>
        <w:jc w:val="both"/>
      </w:pPr>
      <w:r>
        <w:rPr>
          <w:rFonts w:ascii="SimSun" w:cs="SimSun" w:eastAsia="SimSun" w:hAnsi="SimSun"/>
          <w:sz w:val="21"/>
          <w:szCs w:val="21"/>
        </w:rPr>
        <w:t xml:space="preserve">项目内已有一套自下而上程序（build_strain_screening_catalog.py），由菌株性质推测减脂效果：以肥胖分类器 SHAP 信号方向、基因组功能潜能（BSH、丁酸、黏液）与安全分层为输入，对 223 株给出“保护”或“促肥胖”标签。该程序的 SHAP 信号来自全部 8 304 样本的</w:t>
      </w:r>
      <w:r>
        <w:rPr>
          <w:rFonts w:ascii="SimSun" w:cs="SimSun" w:eastAsia="SimSun" w:hAnsi="SimSun"/>
          <w:b/>
          <w:bCs/>
          <w:sz w:val="21"/>
          <w:szCs w:val="21"/>
        </w:rPr>
        <w:t xml:space="preserve">未校正模型</w:t>
      </w:r>
      <w:r>
        <w:rPr>
          <w:rFonts w:ascii="SimSun" w:cs="SimSun" w:eastAsia="SimSun" w:hAnsi="SimSun"/>
          <w:sz w:val="21"/>
          <w:szCs w:val="21"/>
        </w:rPr>
        <w:t xml:space="preserve">（未排除 T2D、未校正年龄性别）。本节以第 2 节的严格筛选结果为金标准，检验二者是否匹配。</w:t>
      </w:r>
    </w:p>
    <w:p>
      <w:pPr>
        <w:spacing w:after="50" w:before="150"/>
        <w:jc w:val="center"/>
      </w:pPr>
      <w:r>
        <w:drawing>
          <wp:inline distT="0" distB="0" distL="0" distR="0">
            <wp:extent cx="5524500" cy="3962400"/>
            <wp:effectExtent t="0" r="0" b="0" l="0"/>
            <wp:docPr id="1" name="fig18_bottomup_validation.png" descr="图 2  自下而上程序与严格筛选结果的对比验证：(A) 混淆矩阵；(B) 一致性随证据强度变化；(C) 各特征判别力；(D) 丙酸与丁酸对比" title="图 2  自下而上程序与严格筛选结果的对比验证：(A) 混淆矩阵；(B) 一致性随证据强度变化；(C) 各特征判别力；(D) 丙酸与丁酸对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90"/>
        <w:jc w:val="center"/>
      </w:pPr>
      <w:r>
        <w:rPr>
          <w:rFonts w:ascii="SimHei" w:cs="SimHei" w:eastAsia="SimHei" w:hAnsi="SimHei"/>
          <w:b/>
          <w:bCs/>
          <w:sz w:val="18"/>
          <w:szCs w:val="18"/>
        </w:rPr>
        <w:t xml:space="preserve">图 2  自下而上程序与严格筛选结果的对比验证：(A) 混淆矩阵；(B) 一致性随证据强度变化；(C) 各特征判别力；(D) 丙酸与丁酸对比</w:t>
      </w:r>
    </w:p>
    <w:p>
      <w:pPr>
        <w:pStyle w:val="Heading2"/>
        <w:spacing w:after="110" w:before="200"/>
      </w:pPr>
      <w:r>
        <w:rPr>
          <w:rFonts w:ascii="SimHei" w:cs="SimHei" w:eastAsia="SimHei" w:hAnsi="SimHei"/>
          <w:b/>
          <w:bCs/>
          <w:sz w:val="24"/>
          <w:szCs w:val="24"/>
        </w:rPr>
        <w:t xml:space="preserve">3.2  一致性结果</w:t>
      </w:r>
    </w:p>
    <w:p>
      <w:pPr>
        <w:spacing w:after="110" w:line="340"/>
        <w:ind w:firstLine="440"/>
        <w:jc w:val="both"/>
      </w:pPr>
      <w:r>
        <w:rPr>
          <w:rFonts w:ascii="SimSun" w:cs="SimSun" w:eastAsia="SimSun" w:hAnsi="SimSun"/>
          <w:sz w:val="21"/>
          <w:szCs w:val="21"/>
        </w:rPr>
        <w:t xml:space="preserve">一致性随证据强度显著提升：在全部受检物种上仅 61.6%（κ=0.21，接近随机），而在统计稳健的 37 个差异菌上达到 </w:t>
      </w:r>
      <w:r>
        <w:rPr>
          <w:rFonts w:ascii="SimSun" w:cs="SimSun" w:eastAsia="SimSun" w:hAnsi="SimSun"/>
          <w:b/>
          <w:bCs/>
          <w:sz w:val="21"/>
          <w:szCs w:val="21"/>
        </w:rPr>
        <w:t xml:space="preserve">81.1%（κ=0.516，中等一致）</w:t>
      </w:r>
      <w:r>
        <w:rPr>
          <w:rFonts w:ascii="SimSun" w:cs="SimSun" w:eastAsia="SimSun" w:hAnsi="SimSun"/>
          <w:sz w:val="21"/>
          <w:szCs w:val="21"/>
        </w:rPr>
        <w:t xml:space="preserve">（表 6）。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900"/>
        <w:gridCol w:w="1000"/>
        <w:gridCol w:w="1000"/>
        <w:gridCol w:w="3926"/>
      </w:tblGrid>
      <w:tr>
        <w:trPr>
          <w:tblHeader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/>
                <w:bCs/>
                <w:sz w:val="16"/>
                <w:szCs w:val="16"/>
              </w:rPr>
              <w:t xml:space="preserve">比对范围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6"/>
                <w:szCs w:val="16"/>
              </w:rPr>
              <w:t xml:space="preserve">物种数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6"/>
                <w:szCs w:val="16"/>
              </w:rPr>
              <w:t xml:space="preserve">一致率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6"/>
                <w:szCs w:val="16"/>
              </w:rPr>
              <w:t xml:space="preserve">Cohen's κ</w:t>
            </w:r>
          </w:p>
        </w:tc>
        <w:tc>
          <w:tcPr>
            <w:tcW w:type="dxa" w:w="3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6"/>
                <w:szCs w:val="16"/>
              </w:rPr>
              <w:t xml:space="preserve">判定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全部受检物种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190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61.6%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0.21</w:t>
            </w:r>
          </w:p>
        </w:tc>
        <w:tc>
          <w:tcPr>
            <w:tcW w:type="dxa" w:w="3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弱一致（接近随机）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FDR&lt;0.05 显著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41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80.5%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0.486</w:t>
            </w:r>
          </w:p>
        </w:tc>
        <w:tc>
          <w:tcPr>
            <w:tcW w:type="dxa" w:w="3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中等一致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稳健差异菌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81.1%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0.516</w:t>
            </w:r>
          </w:p>
        </w:tc>
        <w:tc>
          <w:tcPr>
            <w:tcW w:type="dxa" w:w="3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中等一致</w:t>
            </w:r>
          </w:p>
        </w:tc>
      </w:tr>
    </w:tbl>
    <w:p>
      <w:pPr>
        <w:spacing w:after="180" w:before="70"/>
        <w:jc w:val="center"/>
      </w:pPr>
      <w:r>
        <w:rPr>
          <w:rFonts w:ascii="SimHei" w:cs="SimHei" w:eastAsia="SimHei" w:hAnsi="SimHei"/>
          <w:b/>
          <w:bCs/>
          <w:sz w:val="17"/>
          <w:szCs w:val="17"/>
        </w:rPr>
        <w:t xml:space="preserve">表 6  自下而上程序与严格筛选结果的一致性</w:t>
      </w:r>
    </w:p>
    <w:p>
      <w:pPr>
        <w:spacing w:after="110" w:line="340"/>
        <w:ind w:firstLine="440"/>
        <w:jc w:val="both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程序可靠性高度不对称</w:t>
      </w:r>
      <w:r>
        <w:rPr>
          <w:rFonts w:ascii="SimSun" w:cs="SimSun" w:eastAsia="SimSun" w:hAnsi="SimSun"/>
          <w:sz w:val="21"/>
          <w:szCs w:val="21"/>
        </w:rPr>
        <w:t xml:space="preserve">：当程序预测某菌为“保护/瘦人富集”时，精确率高达 </w:t>
      </w:r>
      <w:r>
        <w:rPr>
          <w:rFonts w:ascii="SimSun" w:cs="SimSun" w:eastAsia="SimSun" w:hAnsi="SimSun"/>
          <w:b/>
          <w:bCs/>
          <w:sz w:val="21"/>
          <w:szCs w:val="21"/>
        </w:rPr>
        <w:t xml:space="preserve">24/25 = 96%</w:t>
      </w:r>
      <w:r>
        <w:rPr>
          <w:rFonts w:ascii="SimSun" w:cs="SimSun" w:eastAsia="SimSun" w:hAnsi="SimSun"/>
          <w:sz w:val="21"/>
          <w:szCs w:val="21"/>
        </w:rPr>
        <w:t xml:space="preserve">，高度可信；但当其预测“促肥胖”时，精确率仅 </w:t>
      </w:r>
      <w:r>
        <w:rPr>
          <w:rFonts w:ascii="SimSun" w:cs="SimSun" w:eastAsia="SimSun" w:hAnsi="SimSun"/>
          <w:b/>
          <w:bCs/>
          <w:sz w:val="21"/>
          <w:szCs w:val="21"/>
        </w:rPr>
        <w:t xml:space="preserve">6/12 = 50%</w:t>
      </w:r>
      <w:r>
        <w:rPr>
          <w:rFonts w:ascii="SimSun" w:cs="SimSun" w:eastAsia="SimSun" w:hAnsi="SimSun"/>
          <w:sz w:val="21"/>
          <w:szCs w:val="21"/>
        </w:rPr>
        <w:t xml:space="preserve">，等同随机，不可用于排除菌株。</w:t>
      </w:r>
    </w:p>
    <w:p>
      <w:pPr>
        <w:spacing w:after="110" w:line="340"/>
        <w:ind w:firstLine="440"/>
        <w:jc w:val="both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一个高后果误判</w:t>
      </w:r>
      <w:r>
        <w:rPr>
          <w:rFonts w:ascii="SimSun" w:cs="SimSun" w:eastAsia="SimSun" w:hAnsi="SimSun"/>
          <w:sz w:val="21"/>
          <w:szCs w:val="21"/>
        </w:rPr>
        <w:t xml:space="preserve">：Ruminococcus gnavus 被程序判为“保护”，实测却是最强肥胖标志（肥胖者丰度翻倍 2.05 倍）。该菌为已知黏液降解促炎菌——若仅依据该程序选菌，会将促炎菌纳入减脂配方。其余 6 例误判均为 SHAP 重要性极低（0.002–0.015）的未培养 CAG 类群。</w:t>
      </w:r>
    </w:p>
    <w:p>
      <w:pPr>
        <w:pStyle w:val="Heading1"/>
        <w:spacing w:after="150" w:before="300"/>
      </w:pPr>
      <w:r>
        <w:rPr>
          <w:rFonts w:ascii="SimHei" w:cs="SimHei" w:eastAsia="SimHei" w:hAnsi="SimHei"/>
          <w:b/>
          <w:bCs/>
          <w:sz w:val="29"/>
          <w:szCs w:val="29"/>
        </w:rPr>
        <w:t xml:space="preserve">4  减脂相关特征的进一步筛选</w:t>
      </w:r>
    </w:p>
    <w:p>
      <w:pPr>
        <w:pStyle w:val="Heading2"/>
        <w:spacing w:after="110" w:before="200"/>
      </w:pPr>
      <w:r>
        <w:rPr>
          <w:rFonts w:ascii="SimHei" w:cs="SimHei" w:eastAsia="SimHei" w:hAnsi="SimHei"/>
          <w:b/>
          <w:bCs/>
          <w:sz w:val="24"/>
          <w:szCs w:val="24"/>
        </w:rPr>
        <w:t xml:space="preserve">4.1  功能潜能：丙酸有效，丁酸无效</w:t>
      </w:r>
    </w:p>
    <w:p>
      <w:pPr>
        <w:spacing w:after="110" w:line="340"/>
        <w:ind w:firstLine="440"/>
        <w:jc w:val="both"/>
      </w:pPr>
      <w:r>
        <w:rPr>
          <w:rFonts w:ascii="SimSun" w:cs="SimSun" w:eastAsia="SimSun" w:hAnsi="SimSun"/>
          <w:sz w:val="21"/>
          <w:szCs w:val="21"/>
        </w:rPr>
        <w:t xml:space="preserve">在剔除源自模型自身的循环特征后，对独立生物学特征逐一检验（图 2C、2D）。</w:t>
      </w:r>
      <w:r>
        <w:rPr>
          <w:rFonts w:ascii="SimSun" w:cs="SimSun" w:eastAsia="SimSun" w:hAnsi="SimSun"/>
          <w:b/>
          <w:bCs/>
          <w:sz w:val="21"/>
          <w:szCs w:val="21"/>
        </w:rPr>
        <w:t xml:space="preserve">丙酸产生潜能是唯一有效的功能特征</w:t>
      </w:r>
      <w:r>
        <w:rPr>
          <w:rFonts w:ascii="SimSun" w:cs="SimSun" w:eastAsia="SimSun" w:hAnsi="SimSun"/>
          <w:sz w:val="21"/>
          <w:szCs w:val="21"/>
        </w:rPr>
        <w:t xml:space="preserve">：10 个具丙酸潜能的显著物种</w:t>
      </w:r>
      <w:r>
        <w:rPr>
          <w:rFonts w:ascii="SimSun" w:cs="SimSun" w:eastAsia="SimSun" w:hAnsi="SimSun"/>
          <w:b/>
          <w:bCs/>
          <w:sz w:val="21"/>
          <w:szCs w:val="21"/>
        </w:rPr>
        <w:t xml:space="preserve">全部</w:t>
      </w:r>
      <w:r>
        <w:rPr>
          <w:rFonts w:ascii="SimSun" w:cs="SimSun" w:eastAsia="SimSun" w:hAnsi="SimSun"/>
          <w:sz w:val="21"/>
          <w:szCs w:val="21"/>
        </w:rPr>
        <w:t xml:space="preserve">为瘦人富集（100%），高于无丙酸潜能者的 77%。</w:t>
      </w:r>
      <w:r>
        <w:rPr>
          <w:rFonts w:ascii="SimSun" w:cs="SimSun" w:eastAsia="SimSun" w:hAnsi="SimSun"/>
          <w:b/>
          <w:bCs/>
          <w:sz w:val="21"/>
          <w:szCs w:val="21"/>
        </w:rPr>
        <w:t xml:space="preserve">丁酸潜能则无效甚至方向相反</w:t>
      </w:r>
      <w:r>
        <w:rPr>
          <w:rFonts w:ascii="SimSun" w:cs="SimSun" w:eastAsia="SimSun" w:hAnsi="SimSun"/>
          <w:sz w:val="21"/>
          <w:szCs w:val="21"/>
        </w:rPr>
        <w:t xml:space="preserve">：具丁酸潜能者瘦人富集率 78%，反而低于无丁酸潜能者的 84%（总体基线 83%）。这与第 2.3 节的发现完全吻合。</w:t>
      </w:r>
    </w:p>
    <w:p>
      <w:pPr>
        <w:spacing w:after="110" w:line="340"/>
        <w:ind w:firstLine="440"/>
        <w:jc w:val="both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诚实的负结果</w:t>
      </w:r>
      <w:r>
        <w:rPr>
          <w:rFonts w:ascii="SimSun" w:cs="SimSun" w:eastAsia="SimSun" w:hAnsi="SimSun"/>
          <w:sz w:val="21"/>
          <w:szCs w:val="21"/>
        </w:rPr>
        <w:t xml:space="preserve">：仅使用属级功能特征时，留一属交叉验证 AUC 为 0.317（逻辑回归）与 0.489（随机森林），均不优于随机。原因在于功能潜能按属赋值、与分类学完全共线，留一属验证恰好剔除了该信息。这说明属级功能先验不足以支撑新菌株的减脂预测，必须下沉到菌株级基因组注释。</w:t>
      </w:r>
    </w:p>
    <w:p>
      <w:pPr>
        <w:pStyle w:val="Heading2"/>
        <w:spacing w:after="110" w:before="200"/>
      </w:pPr>
      <w:r>
        <w:rPr>
          <w:rFonts w:ascii="SimHei" w:cs="SimHei" w:eastAsia="SimHei" w:hAnsi="SimHei"/>
          <w:b/>
          <w:bCs/>
          <w:sz w:val="24"/>
          <w:szCs w:val="24"/>
        </w:rPr>
        <w:t xml:space="preserve">4.2  超越丙酸：其它与瘦人菌株相关的因素</w:t>
      </w:r>
    </w:p>
    <w:p>
      <w:pPr>
        <w:spacing w:after="110" w:line="340"/>
        <w:ind w:firstLine="440"/>
        <w:jc w:val="both"/>
      </w:pPr>
      <w:r>
        <w:rPr>
          <w:rFonts w:ascii="SimSun" w:cs="SimSun" w:eastAsia="SimSun" w:hAnsi="SimSun"/>
          <w:sz w:val="21"/>
          <w:szCs w:val="21"/>
        </w:rPr>
        <w:t xml:space="preserve">为寻找功能潜能之外的判别因素，进一步构建两类非循环特征：</w:t>
      </w:r>
      <w:r>
        <w:rPr>
          <w:rFonts w:ascii="SimSun" w:cs="SimSun" w:eastAsia="SimSun" w:hAnsi="SimSun"/>
          <w:b/>
          <w:bCs/>
          <w:sz w:val="21"/>
          <w:szCs w:val="21"/>
        </w:rPr>
        <w:t xml:space="preserve">生态学特征</w:t>
      </w:r>
      <w:r>
        <w:rPr>
          <w:rFonts w:ascii="SimSun" w:cs="SimSun" w:eastAsia="SimSun" w:hAnsi="SimSun"/>
          <w:sz w:val="21"/>
          <w:szCs w:val="21"/>
        </w:rPr>
        <w:t xml:space="preserve">（流行率、平均丰度、与菌群多样性的关联、共现网络中心度、与已确认瘦人菌的共现亲和度）与</w:t>
      </w:r>
      <w:r>
        <w:rPr>
          <w:rFonts w:ascii="SimSun" w:cs="SimSun" w:eastAsia="SimSun" w:hAnsi="SimSun"/>
          <w:b/>
          <w:bCs/>
          <w:sz w:val="21"/>
          <w:szCs w:val="21"/>
        </w:rPr>
        <w:t xml:space="preserve">知识型特征</w:t>
      </w:r>
      <w:r>
        <w:rPr>
          <w:rFonts w:ascii="SimSun" w:cs="SimSun" w:eastAsia="SimSun" w:hAnsi="SimSun"/>
          <w:sz w:val="21"/>
          <w:szCs w:val="21"/>
        </w:rPr>
        <w:t xml:space="preserve">（口腔来源、严格厌氧、芽孢形成、纤维降解能力），在 41 个显著物种上检验（图 3）。</w:t>
      </w:r>
    </w:p>
    <w:p>
      <w:pPr>
        <w:spacing w:after="50" w:before="150"/>
        <w:jc w:val="center"/>
      </w:pPr>
      <w:r>
        <w:drawing>
          <wp:inline distT="0" distB="0" distL="0" distR="0">
            <wp:extent cx="5524500" cy="3571875"/>
            <wp:effectExtent t="0" r="0" b="0" l="0"/>
            <wp:docPr id="1" name="fig19_lean_factors.png" descr="图 3  超越丙酸的减脂相关因素筛选：(A) 各因素判别力；(B) 跨属泛化能力比较；(C) 多样性关联的组间分布；(D) 知识型性质对比" title="图 3  超越丙酸的减脂相关因素筛选：(A) 各因素判别力；(B) 跨属泛化能力比较；(C) 多样性关联的组间分布；(D) 知识型性质对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90"/>
        <w:jc w:val="center"/>
      </w:pPr>
      <w:r>
        <w:rPr>
          <w:rFonts w:ascii="SimHei" w:cs="SimHei" w:eastAsia="SimHei" w:hAnsi="SimHei"/>
          <w:b/>
          <w:bCs/>
          <w:sz w:val="18"/>
          <w:szCs w:val="18"/>
        </w:rPr>
        <w:t xml:space="preserve">图 3  超越丙酸的减脂相关因素筛选：(A) 各因素判别力；(B) 跨属泛化能力比较；(C) 多样性关联的组间分布；(D) 知识型性质对比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00"/>
        <w:gridCol w:w="1000"/>
        <w:gridCol w:w="1600"/>
        <w:gridCol w:w="1600"/>
        <w:gridCol w:w="1526"/>
      </w:tblGrid>
      <w:tr>
        <w:trPr>
          <w:tblHeader/>
        </w:trP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/>
                <w:bCs/>
                <w:sz w:val="16"/>
                <w:szCs w:val="16"/>
              </w:rPr>
              <w:t xml:space="preserve">因素</w:t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6"/>
                <w:szCs w:val="16"/>
              </w:rPr>
              <w:t xml:space="preserve">AUC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6"/>
                <w:szCs w:val="16"/>
              </w:rPr>
              <w:t xml:space="preserve">方向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6"/>
                <w:szCs w:val="16"/>
              </w:rPr>
              <w:t xml:space="preserve">瘦人富集菌均值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6"/>
                <w:szCs w:val="16"/>
              </w:rPr>
              <w:t xml:space="preserve">肥胖富集菌均值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6"/>
                <w:szCs w:val="16"/>
              </w:rPr>
              <w:t xml:space="preserve">显著性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与已确认瘦人菌共现亲和度</w:t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0.962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越高越瘦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0.129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-0.049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P&lt;0.001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与菌群多样性的关联</w:t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0.92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越高越瘦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0.193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0.025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P&lt;0.001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芽孢形成能力</w:t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0.695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越高越胖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0.324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0.714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不显著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口腔来源菌</w:t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0.571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越高越胖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0.143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P=0.032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严格厌氧</w:t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0.557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越高越瘦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0.971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0.857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不显著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纤维降解能力</w:t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0.536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越高越瘦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0.5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0.429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6"/>
                <w:szCs w:val="16"/>
              </w:rPr>
              <w:t xml:space="preserve">不显著</w:t>
            </w:r>
          </w:p>
        </w:tc>
      </w:tr>
    </w:tbl>
    <w:p>
      <w:pPr>
        <w:spacing w:after="180" w:before="70"/>
        <w:jc w:val="center"/>
      </w:pPr>
      <w:r>
        <w:rPr>
          <w:rFonts w:ascii="SimHei" w:cs="SimHei" w:eastAsia="SimHei" w:hAnsi="SimHei"/>
          <w:b/>
          <w:bCs/>
          <w:sz w:val="17"/>
          <w:szCs w:val="17"/>
        </w:rPr>
        <w:t xml:space="preserve">表 7  与瘦人菌株相关的候选因素（按判别力排序，前 6）</w:t>
      </w:r>
    </w:p>
    <w:p>
      <w:pPr>
        <w:spacing w:after="110" w:line="340"/>
        <w:ind w:firstLine="440"/>
        <w:jc w:val="both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核心发现：与菌群多样性的关联是最强的独立判别因素。</w:t>
      </w:r>
      <w:r>
        <w:rPr>
          <w:rFonts w:ascii="SimSun" w:cs="SimSun" w:eastAsia="SimSun" w:hAnsi="SimSun"/>
          <w:sz w:val="21"/>
          <w:szCs w:val="21"/>
        </w:rPr>
        <w:t xml:space="preserve"> 该特征在各组内部单独计算（而非直接比较胖瘦两组），故不构成循环论证。瘦人富集菌的多样性关联均值为 +0.193，而肥胖富集菌仅 +0.025（P&lt;0.001，AUC 0.920，图 3C）。生物学含义为：</w:t>
      </w:r>
      <w:r>
        <w:rPr>
          <w:rFonts w:ascii="SimSun" w:cs="SimSun" w:eastAsia="SimSun" w:hAnsi="SimSun"/>
          <w:b/>
          <w:bCs/>
          <w:sz w:val="21"/>
          <w:szCs w:val="21"/>
        </w:rPr>
        <w:t xml:space="preserve">瘦人相关菌能与高多样性群落共存，而肥胖相关菌更适应低多样性的失衡群落</w:t>
      </w:r>
      <w:r>
        <w:rPr>
          <w:rFonts w:ascii="SimSun" w:cs="SimSun" w:eastAsia="SimSun" w:hAnsi="SimSun"/>
          <w:sz w:val="21"/>
          <w:szCs w:val="21"/>
        </w:rPr>
        <w:t xml:space="preserve">。</w:t>
      </w:r>
    </w:p>
    <w:p>
      <w:pPr>
        <w:spacing w:after="110" w:line="340"/>
        <w:ind w:firstLine="440"/>
        <w:jc w:val="both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跨属泛化能力对比（图 3B）</w:t>
      </w:r>
      <w:r>
        <w:rPr>
          <w:rFonts w:ascii="SimSun" w:cs="SimSun" w:eastAsia="SimSun" w:hAnsi="SimSun"/>
          <w:sz w:val="21"/>
          <w:szCs w:val="21"/>
        </w:rPr>
        <w:t xml:space="preserve">：仅用多样性关联，留一属交叉验证 AUC 达 </w:t>
      </w:r>
      <w:r>
        <w:rPr>
          <w:rFonts w:ascii="SimSun" w:cs="SimSun" w:eastAsia="SimSun" w:hAnsi="SimSun"/>
          <w:b/>
          <w:bCs/>
          <w:sz w:val="21"/>
          <w:szCs w:val="21"/>
        </w:rPr>
        <w:t xml:space="preserve">0.878</w:t>
      </w:r>
      <w:r>
        <w:rPr>
          <w:rFonts w:ascii="SimSun" w:cs="SimSun" w:eastAsia="SimSun" w:hAnsi="SimSun"/>
          <w:sz w:val="21"/>
          <w:szCs w:val="21"/>
        </w:rPr>
        <w:t xml:space="preserve">；与丙酸潜能联合可达 </w:t>
      </w:r>
      <w:r>
        <w:rPr>
          <w:rFonts w:ascii="SimSun" w:cs="SimSun" w:eastAsia="SimSun" w:hAnsi="SimSun"/>
          <w:b/>
          <w:bCs/>
          <w:sz w:val="21"/>
          <w:szCs w:val="21"/>
        </w:rPr>
        <w:t xml:space="preserve">0.895</w:t>
      </w:r>
      <w:r>
        <w:rPr>
          <w:rFonts w:ascii="SimSun" w:cs="SimSun" w:eastAsia="SimSun" w:hAnsi="SimSun"/>
          <w:sz w:val="21"/>
          <w:szCs w:val="21"/>
        </w:rPr>
        <w:t xml:space="preserve">；而仅用丙酸潜能仅 0.321、仅用知识型特征仅 0.519。</w:t>
      </w:r>
      <w:r>
        <w:rPr>
          <w:rFonts w:ascii="SimSun" w:cs="SimSun" w:eastAsia="SimSun" w:hAnsi="SimSun"/>
          <w:b/>
          <w:bCs/>
          <w:sz w:val="21"/>
          <w:szCs w:val="21"/>
        </w:rPr>
        <w:t xml:space="preserve">多样性关联不仅判别力最强，且是唯一能跨属泛化的特征</w:t>
      </w:r>
      <w:r>
        <w:rPr>
          <w:rFonts w:ascii="SimSun" w:cs="SimSun" w:eastAsia="SimSun" w:hAnsi="SimSun"/>
          <w:sz w:val="21"/>
          <w:szCs w:val="21"/>
        </w:rPr>
        <w:t xml:space="preserve">，因而可直接用于筛查目录之外的新候选菌株。</w:t>
      </w:r>
    </w:p>
    <w:p>
      <w:pPr>
        <w:spacing w:after="110" w:line="340"/>
        <w:ind w:firstLine="440"/>
        <w:jc w:val="both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次要因素</w:t>
      </w:r>
      <w:r>
        <w:rPr>
          <w:rFonts w:ascii="SimSun" w:cs="SimSun" w:eastAsia="SimSun" w:hAnsi="SimSun"/>
          <w:sz w:val="21"/>
          <w:szCs w:val="21"/>
        </w:rPr>
        <w:t xml:space="preserve">：肥胖富集菌中芽孢形成菌比例显著更高（71% 对 32%），口腔来源菌亦更多（14% 对 0%）；而流行率、平均丰度与共现网络中心度均无判别力（AUC≈0.50–0.52），说明“常见”或“高丰度”并不等同于“有益”。</w:t>
      </w:r>
    </w:p>
    <w:p>
      <w:pPr>
        <w:pStyle w:val="Heading1"/>
        <w:spacing w:after="150" w:before="300"/>
      </w:pPr>
      <w:r>
        <w:rPr>
          <w:rFonts w:ascii="SimHei" w:cs="SimHei" w:eastAsia="SimHei" w:hAnsi="SimHei"/>
          <w:b/>
          <w:bCs/>
          <w:sz w:val="29"/>
          <w:szCs w:val="29"/>
        </w:rPr>
        <w:t xml:space="preserve">5  结论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SimSun" w:cs="SimSun" w:eastAsia="SimSun" w:hAnsi="SimSun"/>
          <w:sz w:val="21"/>
          <w:szCs w:val="21"/>
        </w:rPr>
        <w:t xml:space="preserve">在 7 项西欧研究、2008 例无疾病受试者中，经研究内年龄性别 1:1 匹配与回归双重校正后，肠道菌群仍能跨研究区分胖瘦（留一研究 AUC 0.749），而人口学信息已完全失效（0.527）。菌群差异是独立于年龄性别的生物学信号。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SimSun" w:cs="SimSun" w:eastAsia="SimSun" w:hAnsi="SimSun"/>
          <w:sz w:val="21"/>
          <w:szCs w:val="21"/>
        </w:rPr>
        <w:t xml:space="preserve">共鉴定 37 个稳健差异物种。瘦人以产甲烷古菌与特定丁酸产生菌为特征；肥胖以 Ruminococcus gnavus 丰度翻倍为最强标志。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SimSun" w:cs="SimSun" w:eastAsia="SimSun" w:hAnsi="SimSun"/>
          <w:sz w:val="21"/>
          <w:szCs w:val="21"/>
        </w:rPr>
        <w:t xml:space="preserve">种级分辨率不可替代：同为丁酸产生菌，Butyrivibrio crossotus 与 Eubacterium eligens 富集于瘦人，而 Roseburia intestinalis 与 Eubacterium rectale 富集于肥胖，基于功能属的组合设计存在方向性风险。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SimSun" w:cs="SimSun" w:eastAsia="SimSun" w:hAnsi="SimSun"/>
          <w:sz w:val="21"/>
          <w:szCs w:val="21"/>
        </w:rPr>
        <w:t xml:space="preserve">对菌株组合设计的直接输入：Butyrivibrio crossotus 在本严格分析中获得独立验证；建议将 Eubacterium eligens、Intestinimonas butyriciproducens 与 Methanobrevibacter smithii 纳入候选池，并排除 Roseburia intestinalis 与 Eubacterium rectale。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SimSun" w:cs="SimSun" w:eastAsia="SimSun" w:hAnsi="SimSun"/>
          <w:sz w:val="21"/>
          <w:szCs w:val="21"/>
        </w:rPr>
        <w:t xml:space="preserve">Ruminococcus gnavus 丰度下降可作为西欧人群减脂干预的候选疗效生物标志物。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SimSun" w:cs="SimSun" w:eastAsia="SimSun" w:hAnsi="SimSun"/>
          <w:sz w:val="21"/>
          <w:szCs w:val="21"/>
        </w:rPr>
        <w:t xml:space="preserve">自下而上菌株性质程序与本严格筛选中等一致（81.1%，κ=0.52），但可靠性不对称：预测“保护”时精确率 96% 可直接用于初筛，预测“促肥胖”时仅 50% 不可用于排除；且曾将促炎菌 Ruminococcus gnavus 误判为保护菌，必须以实测差异丰度复核。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SimSun" w:cs="SimSun" w:eastAsia="SimSun" w:hAnsi="SimSun"/>
          <w:sz w:val="21"/>
          <w:szCs w:val="21"/>
        </w:rPr>
        <w:t xml:space="preserve">功能潜能层面，丙酸产生能力是唯一有效特征（10/10 全部瘦人富集），丁酸产生能力无效且方向相反，应停止将“丁酸产生菌”作为减脂筛选标准。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SimSun" w:cs="SimSun" w:eastAsia="SimSun" w:hAnsi="SimSun"/>
          <w:sz w:val="21"/>
          <w:szCs w:val="21"/>
        </w:rPr>
        <w:t xml:space="preserve">与菌群多样性的关联是判别力最强（AUC 0.920）且唯一能跨属泛化（留一属 AUC 0.878）的因素，与丙酸联合可达 0.895，建议作为新菌株的首选筛查指标；肥胖富集菌则更多为芽孢形成菌与口腔来源菌。</w:t>
      </w:r>
    </w:p>
    <w:p>
      <w:pPr>
        <w:pStyle w:val="Heading1"/>
        <w:spacing w:after="150" w:before="300"/>
      </w:pPr>
      <w:r>
        <w:rPr>
          <w:rFonts w:ascii="SimHei" w:cs="SimHei" w:eastAsia="SimHei" w:hAnsi="SimHei"/>
          <w:b/>
          <w:bCs/>
          <w:sz w:val="29"/>
          <w:szCs w:val="29"/>
        </w:rPr>
        <w:t xml:space="preserve">6  局限性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SimSun" w:cs="SimSun" w:eastAsia="SimSun" w:hAnsi="SimSun"/>
          <w:sz w:val="21"/>
          <w:szCs w:val="21"/>
        </w:rPr>
        <w:t xml:space="preserve">横断面关联而非因果：不能据此推断补充上述菌株可致减脂，需干预试验验证。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SimSun" w:cs="SimSun" w:eastAsia="SimSun" w:hAnsi="SimSun"/>
          <w:sz w:val="21"/>
          <w:szCs w:val="21"/>
        </w:rPr>
        <w:t xml:space="preserve">匹配代价：1:1 匹配使样本量自 2 008 降至 904，统计效能下降、置信区间变宽，未匹配上的极端年龄样本被舍弃。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SimSun" w:cs="SimSun" w:eastAsia="SimSun" w:hAnsi="SimSun"/>
          <w:sz w:val="21"/>
          <w:szCs w:val="21"/>
        </w:rPr>
        <w:t xml:space="preserve">残余混杂：饮食结构、用药（含抗生素）、体力活动等信息缺失，无法纳入校正。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SimSun" w:cs="SimSun" w:eastAsia="SimSun" w:hAnsi="SimSun"/>
          <w:sz w:val="21"/>
          <w:szCs w:val="21"/>
        </w:rPr>
        <w:t xml:space="preserve">队列设计异质：丹麦 MetaHIT 系列为极端表型设计，判别效力偏高；人群队列估计更为保守。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SimSun" w:cs="SimSun" w:eastAsia="SimSun" w:hAnsi="SimSun"/>
          <w:sz w:val="21"/>
          <w:szCs w:val="21"/>
        </w:rPr>
        <w:t xml:space="preserve">地域局限：结论限于西欧人群，前期分层分析显示部分菌种（如 Roseburia intestinalis）在东亚人群中方向相反。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SimSun" w:cs="SimSun" w:eastAsia="SimSun" w:hAnsi="SimSun"/>
          <w:sz w:val="21"/>
          <w:szCs w:val="21"/>
        </w:rPr>
        <w:t xml:space="preserve">特征筛选样本有限：41 个显著物种中仅 7 个肥胖富集，类别不平衡，判别力估计不稳；丙酸 10/10 的完美关联基于 n=10，需更大样本复核。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SimSun" w:cs="SimSun" w:eastAsia="SimSun" w:hAnsi="SimSun"/>
          <w:sz w:val="21"/>
          <w:szCs w:val="21"/>
        </w:rPr>
        <w:t xml:space="preserve">与已确认瘦人菌的共现亲和度（AUC 0.96）含部分定义性循环，已在解读中标注，不作为独立结论；多样性关联虽在组内计算，仍属关联证据。</w:t>
      </w:r>
    </w:p>
    <w:p>
      <w:pPr>
        <w:pStyle w:val="Heading1"/>
        <w:spacing w:after="150" w:before="300"/>
      </w:pPr>
      <w:r>
        <w:rPr>
          <w:rFonts w:ascii="SimHei" w:cs="SimHei" w:eastAsia="SimHei" w:hAnsi="SimHei"/>
          <w:b/>
          <w:bCs/>
          <w:sz w:val="29"/>
          <w:szCs w:val="29"/>
        </w:rPr>
        <w:t xml:space="preserve">7  数据与代码可用性</w:t>
      </w:r>
    </w:p>
    <w:p>
      <w:pPr>
        <w:spacing w:after="110" w:line="340"/>
        <w:jc w:val="both"/>
      </w:pPr>
      <w:r>
        <w:rPr>
          <w:rFonts w:ascii="SimSun" w:cs="SimSun" w:eastAsia="SimSun" w:hAnsi="SimSun"/>
          <w:sz w:val="21"/>
          <w:szCs w:val="21"/>
        </w:rPr>
        <w:t xml:space="preserve">分析脚本：scripts/obesity_model/we_healthy_full_analysis.py（主分析）、bottomup_vs_screened_validation.py（程序验证）、lean_associated_factors_discovery.py（因素筛选）；结果数据：results/prediction_results/we_healthy/（含队列来源表 cohort_sources.csv、匹配队列 matched_cohort.csv、完整差异分析表 differential_abundance_adjusted.csv、分析摘要 analysis_summary.json）；程序验证与因素筛选结果见 results/prediction_results/bottomup_validation/ 与 lean_factors/；配套 Excel 汇总见 西欧健康队列_完整数据_20260625.xlsx。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sz w:val="18"/>
        <w:szCs w:val="18"/>
      </w:rPr>
      <w:t xml:space="preserve">第 </w:t>
    </w:r>
    <w:r>
      <w:rPr>
        <w:rFonts w:ascii="SimSun" w:cs="SimSun" w:eastAsia="SimSun" w:hAnsi="SimSun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50" w:before="300"/>
      <w:outlineLvl w:val="0"/>
    </w:pPr>
    <w:rPr>
      <w:rFonts w:ascii="SimHei" w:cs="SimHei" w:eastAsia="SimHei" w:hAnsi="SimHei"/>
      <w:b/>
      <w:bCs/>
      <w:sz w:val="29"/>
      <w:szCs w:val="29"/>
    </w:rPr>
  </w:style>
  <w:style w:type="paragraph" w:styleId="Heading2">
    <w:name w:val="Heading 2"/>
    <w:basedOn w:val="Normal"/>
    <w:next w:val="Normal"/>
    <w:qFormat/>
    <w:pPr>
      <w:spacing w:after="110" w:before="200"/>
      <w:outlineLvl w:val="1"/>
    </w:pPr>
    <w:rPr>
      <w:rFonts w:ascii="SimHei" w:cs="SimHei" w:eastAsia="SimHei" w:hAnsi="SimHei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366f8f9bc087e9de0f28581c9aa34f6f7b64ee5.png"/><Relationship Id="rId9" Type="http://schemas.openxmlformats.org/officeDocument/2006/relationships/image" Target="media/e5e1a00d7608ddd8d2f2629b05f33a49bbe3f6bf.png"/><Relationship Id="rId10" Type="http://schemas.openxmlformats.org/officeDocument/2006/relationships/image" Target="media/7a97212011b1f7f154ca8856170d86268456559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2026-07-29T00:47:19.012Z</dcterms:created>
  <dcterms:modified xsi:type="dcterms:W3CDTF">2026-07-29T00:47:19.014Z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