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 w:before="900"/>
        <w:jc w:val="center"/>
      </w:pPr>
      <w:r>
        <w:rPr>
          <w:rFonts w:ascii="SimHei" w:cs="SimHei" w:eastAsia="SimHei" w:hAnsi="SimHei"/>
          <w:b/>
          <w:bCs/>
          <w:sz w:val="38"/>
          <w:szCs w:val="38"/>
        </w:rPr>
        <w:t xml:space="preserve">西欧健康人群肠道菌群肥胖差异及其</w:t>
      </w: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38"/>
          <w:szCs w:val="38"/>
        </w:rPr>
        <w:t xml:space="preserve">减脂机制特征的系统性评估</w:t>
      </w:r>
    </w:p>
    <w:p>
      <w:pPr>
        <w:spacing w:after="90"/>
        <w:jc w:val="center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从队列差异分析到机制特征验证与菌株组合定标</w:t>
      </w:r>
    </w:p>
    <w:p>
      <w:pPr>
        <w:spacing w:after="60" w:before="300"/>
        <w:jc w:val="center"/>
      </w:pPr>
      <w:r>
        <w:rPr>
          <w:rFonts w:ascii="SimSun" w:cs="SimSun" w:eastAsia="SimSun" w:hAnsi="SimSun"/>
          <w:sz w:val="22"/>
          <w:szCs w:val="22"/>
        </w:rPr>
        <w:t xml:space="preserve">ProSlim-Microbiome-AI 项目组</w:t>
      </w:r>
    </w:p>
    <w:p>
      <w:pPr>
        <w:spacing w:after="900"/>
        <w:jc w:val="center"/>
      </w:pPr>
      <w:r>
        <w:rPr>
          <w:rFonts w:ascii="SimSun" w:cs="SimSun" w:eastAsia="SimSun" w:hAnsi="SimSun"/>
          <w:sz w:val="20"/>
          <w:szCs w:val="20"/>
        </w:rPr>
        <w:t xml:space="preserve">2026 年 6 月 25 日</w:t>
      </w:r>
    </w:p>
    <w:p>
      <w:r>
        <w:br w:type="page"/>
      </w:r>
    </w:p>
    <w:p>
      <w:pPr>
        <w:spacing w:after="100"/>
      </w:pPr>
      <w:r>
        <w:rPr>
          <w:rFonts w:ascii="SimHei" w:cs="SimHei" w:eastAsia="SimHei" w:hAnsi="SimHei"/>
          <w:b/>
          <w:bCs/>
          <w:sz w:val="26"/>
          <w:szCs w:val="26"/>
        </w:rPr>
        <w:t xml:space="preserve">摘要</w:t>
      </w:r>
    </w:p>
    <w:p>
      <w:pPr>
        <w:spacing w:after="100" w:line="3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背景与目的：</w:t>
      </w:r>
      <w:r>
        <w:rPr>
          <w:rFonts w:ascii="SimSun" w:cs="SimSun" w:eastAsia="SimSun" w:hAnsi="SimSun"/>
          <w:sz w:val="21"/>
          <w:szCs w:val="21"/>
        </w:rPr>
        <w:t xml:space="preserve">肠道菌群与肥胖的关联广受关注，但既有报道普遍未控制年龄、性别与代谢疾病等混杂，且菌株筛选多依赖未经验证的机制先验。本研究旨在：(1) 在严格控制混杂的条件下确定西欧健康人群的肥胖相关菌群差异；(2) 系统评估各类机制特征对"瘦人相关菌"的预测能力；(3) 据此重构菌株组合的定标依据。</w:t>
      </w:r>
    </w:p>
    <w:p>
      <w:pPr>
        <w:spacing w:after="100" w:line="3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材料与方法：</w:t>
      </w:r>
      <w:r>
        <w:rPr>
          <w:rFonts w:ascii="SimSun" w:cs="SimSun" w:eastAsia="SimSun" w:hAnsi="SimSun"/>
          <w:sz w:val="21"/>
          <w:szCs w:val="21"/>
        </w:rPr>
        <w:t xml:space="preserve">自 8 304 例公开鸟枪法宏基因组样本逐级筛选，排除 2 型糖尿病、糖耐量异常与高血压，纳入 7 项独立研究（DNK、GBR、IRL、NLD）共 1380 例瘦人与 628 例肥胖者。采用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研究内 1:1 年龄（±5 岁）性别匹配</w:t>
      </w:r>
      <w:r>
        <w:rPr>
          <w:rFonts w:ascii="SimSun" w:cs="SimSun" w:eastAsia="SimSun" w:hAnsi="SimSun"/>
          <w:sz w:val="21"/>
          <w:szCs w:val="21"/>
        </w:rPr>
        <w:t xml:space="preserve">（n=904）联合回归协变量校正的双重混杂控制策略。对 199 个物种行 OLS 差异分析（Benjamini-Hochberg FDR），并以 DerSimonian-Laird 随机效应 meta 分析交叉验证；以留一研究交叉验证的随机森林检验判别效力。进一步构建功能潜能、生态学与知识型三类特征，采用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留一属交叉验证</w:t>
      </w:r>
      <w:r>
        <w:rPr>
          <w:rFonts w:ascii="SimSun" w:cs="SimSun" w:eastAsia="SimSun" w:hAnsi="SimSun"/>
          <w:sz w:val="21"/>
          <w:szCs w:val="21"/>
        </w:rPr>
        <w:t xml:space="preserve">评估其跨类群泛化能力。</w:t>
      </w:r>
    </w:p>
    <w:p>
      <w:pPr>
        <w:spacing w:after="100" w:line="3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结果：</w:t>
      </w:r>
      <w:r>
        <w:rPr>
          <w:rFonts w:ascii="SimSun" w:cs="SimSun" w:eastAsia="SimSun" w:hAnsi="SimSun"/>
          <w:sz w:val="21"/>
          <w:szCs w:val="21"/>
        </w:rPr>
        <w:t xml:space="preserve">匹配后仅年龄性别模型 AUC 降至 0.527（近随机），而菌群模型仍达 0.749，证实菌群差异独立于人口学。41 个物种达 FDR&lt;0.05，其中 37 个通过 meta 验证。产甲烷古菌 Methanobrevibacter smithii 为最稳健瘦人标志（I²=0%，胖/瘦 0.29 倍），Ruminococcus gnavus 在肥胖者中丰度翻倍（2.05 倍）。丁酸产生菌呈现种间方向分化。机制特征评估显示：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与群落多样性的关联</w:t>
      </w:r>
      <w:r>
        <w:rPr>
          <w:rFonts w:ascii="SimSun" w:cs="SimSun" w:eastAsia="SimSun" w:hAnsi="SimSun"/>
          <w:sz w:val="21"/>
          <w:szCs w:val="21"/>
        </w:rPr>
        <w:t xml:space="preserve">判别力最高（AUC 0.92）且为唯一可跨属泛化者（留一属 AUC 0.878）；丙酸潜能样本内有效（10/10）但不能跨属泛化（0.321）；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胆盐水解酶（BSH）无任何预测能力</w:t>
      </w:r>
      <w:r>
        <w:rPr>
          <w:rFonts w:ascii="SimSun" w:cs="SimSun" w:eastAsia="SimSun" w:hAnsi="SimSun"/>
          <w:sz w:val="21"/>
          <w:szCs w:val="21"/>
        </w:rPr>
        <w:t xml:space="preserve">（AUC 0.517，P=0.85），跨属为 0.027，纳入后反使最佳模型由 0.878 降至 0.798。据此重新加权的组合定标（v2）首选为人肠巴恩斯氏菌、内脏臭杆菌与腐败另枝菌，且在放宽纳入标准的敏感性分析中排序不变。</w:t>
      </w:r>
    </w:p>
    <w:p>
      <w:pPr>
        <w:spacing w:after="100" w:line="3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结论：</w:t>
      </w:r>
      <w:r>
        <w:rPr>
          <w:rFonts w:ascii="SimSun" w:cs="SimSun" w:eastAsia="SimSun" w:hAnsi="SimSun"/>
          <w:sz w:val="21"/>
          <w:szCs w:val="21"/>
        </w:rPr>
        <w:t xml:space="preserve">严格校正后肠道菌群的肥胖相关差异真实存在且独立于年龄性别。菌株筛选应以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群落多样性关联</w:t>
      </w:r>
      <w:r>
        <w:rPr>
          <w:rFonts w:ascii="SimSun" w:cs="SimSun" w:eastAsia="SimSun" w:hAnsi="SimSun"/>
          <w:sz w:val="21"/>
          <w:szCs w:val="21"/>
        </w:rPr>
        <w:t xml:space="preserve">为首要指标，辅以实测效应与丙酸潜能；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应停止以 BSH 与"丁酸产生菌"作为减脂筛选标准</w:t>
      </w:r>
      <w:r>
        <w:rPr>
          <w:rFonts w:ascii="SimSun" w:cs="SimSun" w:eastAsia="SimSun" w:hAnsi="SimSun"/>
          <w:sz w:val="21"/>
          <w:szCs w:val="21"/>
        </w:rPr>
        <w:t xml:space="preserve">。菌株组合仍为候选定标，其疗效须经前瞻试验验证。</w:t>
      </w:r>
    </w:p>
    <w:p>
      <w:pPr>
        <w:spacing w:after="200" w:before="11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关键词：</w:t>
      </w:r>
      <w:r>
        <w:rPr>
          <w:rFonts w:ascii="SimSun" w:cs="SimSun" w:eastAsia="SimSun" w:hAnsi="SimSun"/>
          <w:sz w:val="20"/>
          <w:szCs w:val="20"/>
        </w:rPr>
        <w:t xml:space="preserve">肠道菌群；肥胖；宏基因组学；倾向性匹配；随机效应 meta 分析；α 多样性；短链脂肪酸；胆盐水解酶；机器学习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　引言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肥胖已成为全球性公共卫生负担，肠道菌群被认为通过能量收获、短链脂肪酸信号、胆汁酸代谢与肠屏障功能参与其发生发展。然而，已发表的“肥胖菌群特征”在不同研究间重复性有限，其原因至少有三：其一，肥胖人群往往年龄更大、代谢疾病更多，多数研究未对这些混杂因素作充分控制；其二，跨研究的批次与测序差异易被误读为生物学信号；其三，基于“功能属”的机制先验（如认定丁酸产生菌或含胆盐水解酶的菌必然有益）缺乏在严格数据上的检验。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本研究以西欧公开鸟枪法宏基因组队列为对象，采取三项设计以回应上述问题：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排除全部代谢疾病个体</w:t>
      </w:r>
      <w:r>
        <w:rPr>
          <w:rFonts w:ascii="SimSun" w:cs="SimSun" w:eastAsia="SimSun" w:hAnsi="SimSun"/>
          <w:sz w:val="21"/>
          <w:szCs w:val="21"/>
        </w:rPr>
        <w:t xml:space="preserve">以剥离疾病混杂；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在研究内部作 1:1 年龄性别匹配</w:t>
      </w:r>
      <w:r>
        <w:rPr>
          <w:rFonts w:ascii="SimSun" w:cs="SimSun" w:eastAsia="SimSun" w:hAnsi="SimSun"/>
          <w:sz w:val="21"/>
          <w:szCs w:val="21"/>
        </w:rPr>
        <w:t xml:space="preserve">，从而同时消除人口学与批次混杂；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以留一研究与留一属两级交叉验证</w:t>
      </w:r>
      <w:r>
        <w:rPr>
          <w:rFonts w:ascii="SimSun" w:cs="SimSun" w:eastAsia="SimSun" w:hAnsi="SimSun"/>
          <w:sz w:val="21"/>
          <w:szCs w:val="21"/>
        </w:rPr>
        <w:t xml:space="preserve">分别检验模型的跨队列与跨类群泛化能力。在此基础上，本文进一步系统评估功能潜能、生态学与知识型三类机制特征的预测能力，并据实测结果重构菌株组合的定标依据。</w:t>
      </w:r>
    </w:p>
    <w:p>
      <w:pPr>
        <w:pStyle w:val="Heading1"/>
        <w:spacing w:after="14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　材料与方法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2.1　数据来源与物种定量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本研究使用公开人体肠道宏基因组数据集体系（curatedMetagenomicData 汇编），所有纳入样本均为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鸟枪法全宏基因组测序</w:t>
      </w:r>
      <w:r>
        <w:rPr>
          <w:rFonts w:ascii="SimSun" w:cs="SimSun" w:eastAsia="SimSun" w:hAnsi="SimSun"/>
          <w:sz w:val="21"/>
          <w:szCs w:val="21"/>
        </w:rPr>
        <w:t xml:space="preserve">（非 16S 扩增子），物种水平相对丰度由 MetaPhlAn 系列标记基因方法统一定量，单位为百分比（%），每样本各物种丰度之和为 100%。样本元数据包含研究编号、国家、年龄、性别、体质指数（BMI）、肥胖分型与疾病状态。</w:t>
      </w:r>
    </w:p>
    <w:p>
      <w:pPr>
        <w:pStyle w:val="Heading3"/>
        <w:spacing w:after="80" w:before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2.1.1　伴随表型定义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肥胖分型（lean / overweight / obesity）沿用原始队列的策展标注（以 BMI 为主要依据）；疾病状态包含 healthy、T2D（2 型糖尿病）、IGT（糖耐量异常）与 hypertension（高血压）。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2.2　纳入与排除标准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逐级应用以下标准（表 1）：(1) 国家属于西欧（荷兰、英国、丹麦、法国、德国、意大利、西班牙、瑞典、奥地利、爱尔兰、卢森堡）；(2)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疾病状态为 healthy</w:t>
      </w:r>
      <w:r>
        <w:rPr>
          <w:rFonts w:ascii="SimSun" w:cs="SimSun" w:eastAsia="SimSun" w:hAnsi="SimSun"/>
          <w:sz w:val="21"/>
          <w:szCs w:val="21"/>
        </w:rPr>
        <w:t xml:space="preserve">，即排除全部 T2D、IGT 与高血压个体，以确保观察到的差异归因于肥胖本身而非代谢疾病；(3) 肥胖分型为 lean 或 obesity，排除 overweight 中间态以增强对比度；(4) 年龄与性别记录完整；(5) 该研究内瘦人与肥胖两组各不少于 10 例，以保证研究内可比性与匹配可行性。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2000"/>
        <w:gridCol w:w="1726"/>
      </w:tblGrid>
      <w:tr>
        <w:trPr>
          <w:tblHeader/>
        </w:trP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筛选步骤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剩余样本量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排除数</w:t>
            </w:r>
          </w:p>
        </w:tc>
      </w:tr>
      <w:tr>
        <w:trPr>
          <w:tblHeader w:val="false"/>
        </w:trP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原始样本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8304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西欧国家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4869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3435</w:t>
            </w:r>
          </w:p>
        </w:tc>
      </w:tr>
      <w:tr>
        <w:trPr>
          <w:tblHeader w:val="false"/>
        </w:trP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无疾病(排除T2D/IGT/高血压)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4151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718</w:t>
            </w:r>
          </w:p>
        </w:tc>
      </w:tr>
      <w:tr>
        <w:trPr>
          <w:tblHeader w:val="false"/>
        </w:trP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瘦或肥胖(排除超重)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2973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1178</w:t>
            </w:r>
          </w:p>
        </w:tc>
      </w:tr>
      <w:tr>
        <w:trPr>
          <w:tblHeader w:val="false"/>
        </w:trP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年龄性别完整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2839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134</w:t>
            </w:r>
          </w:p>
        </w:tc>
      </w:tr>
      <w:tr>
        <w:trPr>
          <w:tblHeader w:val="false"/>
        </w:trPr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研究内两组各≥10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2049</w:t>
            </w:r>
          </w:p>
        </w:tc>
        <w:tc>
          <w:tcPr>
            <w:tcW w:type="dxa" w:w="1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790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1　队列筛选流程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2.3　混杂控制：双重独立策略</w:t>
      </w:r>
    </w:p>
    <w:p>
      <w:pPr>
        <w:pStyle w:val="Heading3"/>
        <w:spacing w:after="80" w:before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2.3.1　研究内 1:1 年龄性别匹配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原始队列中肥胖组年龄系统性高于瘦人组（如 AsnicarF_2021 为 49.2 对 42.7 岁；KeohaneDM_2020 为 44.5 对 27.8 岁），性别构成亦存在差异。为此，对每一例肥胖受试者，在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同一研究内部</w:t>
      </w:r>
      <w:r>
        <w:rPr>
          <w:rFonts w:ascii="SimSun" w:cs="SimSun" w:eastAsia="SimSun" w:hAnsi="SimSun"/>
          <w:sz w:val="21"/>
          <w:szCs w:val="21"/>
        </w:rPr>
        <w:t xml:space="preserve">检索性别相同、年龄差不超过 5 岁的瘦人对照，采用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最近邻无放回</w:t>
      </w:r>
      <w:r>
        <w:rPr>
          <w:rFonts w:ascii="SimSun" w:cs="SimSun" w:eastAsia="SimSun" w:hAnsi="SimSun"/>
          <w:sz w:val="21"/>
          <w:szCs w:val="21"/>
        </w:rPr>
        <w:t xml:space="preserve">抽样（若存在多个候选，取年龄差最小者；已被匹配的个体不再进入候选池）。研究内匹配的额外优势在于同时消除测序中心、建库方案与地域带来的批次效应。匹配后样本量为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n=904</w:t>
      </w:r>
      <w:r>
        <w:rPr>
          <w:rFonts w:ascii="SimSun" w:cs="SimSun" w:eastAsia="SimSun" w:hAnsi="SimSun"/>
          <w:sz w:val="21"/>
          <w:szCs w:val="21"/>
        </w:rPr>
        <w:t xml:space="preserve">（瘦人 452 例、肥胖 452 例），两组平均年龄分别为 51.2 与 51.4 岁，女性比例均为 0.7，达到完全平衡。</w:t>
      </w:r>
    </w:p>
    <w:p>
      <w:pPr>
        <w:pStyle w:val="Heading3"/>
        <w:spacing w:after="80" w:before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2.3.2　回归协变量校正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在差异丰度模型中再次纳入年龄、性别与研究作为协变量，形成与匹配相互独立的第二重保障，以校正匹配容差（±5 岁）内的残余差异。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2.4　差异丰度分析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物种筛选：仅保留在匹配队列中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流行率不低于 10%</w:t>
      </w:r>
      <w:r>
        <w:rPr>
          <w:rFonts w:ascii="SimSun" w:cs="SimSun" w:eastAsia="SimSun" w:hAnsi="SimSun"/>
          <w:sz w:val="21"/>
          <w:szCs w:val="21"/>
        </w:rPr>
        <w:t xml:space="preserve">（即至少 10% 样本可检出）的物种，共 199 个，以避免零膨胀导致的统计不稳。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主模型</w:t>
      </w:r>
      <w:r>
        <w:rPr>
          <w:rFonts w:ascii="SimSun" w:cs="SimSun" w:eastAsia="SimSun" w:hAnsi="SimSun"/>
          <w:sz w:val="21"/>
          <w:szCs w:val="21"/>
        </w:rPr>
        <w:t xml:space="preserve">：对每个物种，以 log10(相对丰度 + 0.001) 为因变量（伪计数 0.001% 用于处理零值），拟合普通最小二乘回归：</w:t>
      </w:r>
    </w:p>
    <w:p>
      <w:pPr>
        <w:spacing w:after="60" w:before="60"/>
        <w:jc w:val="center"/>
      </w:pPr>
      <w:r>
        <w:rPr>
          <w:rFonts w:ascii="SimSun" w:cs="SimSun" w:eastAsia="SimSun" w:hAnsi="SimSun"/>
          <w:i/>
          <w:iCs/>
          <w:sz w:val="21"/>
          <w:szCs w:val="21"/>
        </w:rPr>
        <w:t xml:space="preserve">log10(丰度 + 0.001) ~ 肥胖 + 年龄 + 性别 + 研究</w:t>
      </w:r>
    </w:p>
    <w:p>
      <w:pPr>
        <w:spacing w:after="100" w:line="3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其中研究以哑变量形式作为固定效应纳入。提取肥胖项的回归系数与 P 值，并采用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Benjamini-Hochberg 法</w:t>
      </w:r>
      <w:r>
        <w:rPr>
          <w:rFonts w:ascii="SimSun" w:cs="SimSun" w:eastAsia="SimSun" w:hAnsi="SimSun"/>
          <w:sz w:val="21"/>
          <w:szCs w:val="21"/>
        </w:rPr>
        <w:t xml:space="preserve">控制错误发现率（FDR）。倍数变化由回归系数换算：FC = 10^β（β 为肥胖项系数，FC&lt;1 表示肥胖者较低）。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2.5　随机效应 meta 分析（稳健性交叉验证）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为避免单一模型设定带来的偏倚，对每个物种独立执行第二套分析：在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各研究内部</w:t>
      </w:r>
      <w:r>
        <w:rPr>
          <w:rFonts w:ascii="SimSun" w:cs="SimSun" w:eastAsia="SimSun" w:hAnsi="SimSun"/>
          <w:sz w:val="21"/>
          <w:szCs w:val="21"/>
        </w:rPr>
        <w:t xml:space="preserve">分别计算瘦人与肥胖组 log10 丰度的标准化均数差，并施加 Hedges 小样本偏倚校正因子 J = 1 − 3/[4(n₁+n₂) − 9] 得到 Hedges g；随后以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DerSimonian-Laird 随机效应模型</w:t>
      </w:r>
      <w:r>
        <w:rPr>
          <w:rFonts w:ascii="SimSun" w:cs="SimSun" w:eastAsia="SimSun" w:hAnsi="SimSun"/>
          <w:sz w:val="21"/>
          <w:szCs w:val="21"/>
        </w:rPr>
        <w:t xml:space="preserve">合并各研究效应量，报告合并 g、95% 置信区间与异质性指标 I²。仅纳入两组各不少于 5 例的研究，且要求至少 3 项研究方可合并。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稳健差异菌判定</w:t>
      </w:r>
      <w:r>
        <w:rPr>
          <w:rFonts w:ascii="SimSun" w:cs="SimSun" w:eastAsia="SimSun" w:hAnsi="SimSun"/>
          <w:sz w:val="21"/>
          <w:szCs w:val="21"/>
        </w:rPr>
        <w:t xml:space="preserve">：须同时满足三项条件——(i) 主模型 FDR&lt;0.05；(ii) meta 合并 95%CI 排除 0；(iii) 两种方法给出的效应方向一致。三重判定旨在剔除仅因单一模型设定或个别研究驱动而显著的物种。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2.6　机器学习判别与验证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采用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平衡随机森林</w:t>
      </w:r>
      <w:r>
        <w:rPr>
          <w:rFonts w:ascii="SimSun" w:cs="SimSun" w:eastAsia="SimSun" w:hAnsi="SimSun"/>
          <w:sz w:val="21"/>
          <w:szCs w:val="21"/>
        </w:rPr>
        <w:t xml:space="preserve">（500 棵树，最大深度 6，最小叶节点样本数 3，类别权重按频数倒数平衡）以物种相对丰度为输入判别瘦/胖。验证采用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留一研究交叉验证</w:t>
      </w:r>
      <w:r>
        <w:rPr>
          <w:rFonts w:ascii="SimSun" w:cs="SimSun" w:eastAsia="SimSun" w:hAnsi="SimSun"/>
          <w:sz w:val="21"/>
          <w:szCs w:val="21"/>
        </w:rPr>
        <w:t xml:space="preserve">：每次留出一整项研究作为独立测试集，其余研究用于训练，从设计上杜绝批次泄漏。作为混杂消除的对照，另以仅年龄与性别为输入训练同构模型；若匹配充分，该对照模型的 AUC 应接近 0.5。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2.7　机制特征构建</w:t>
      </w:r>
    </w:p>
    <w:p>
      <w:pPr>
        <w:pStyle w:val="Heading3"/>
        <w:spacing w:after="80" w:before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2.7.1　功能潜能特征（属级）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依据 90 个属的代谢 guild 参考表，为每个物种赋予其所属属的丁酸、丙酸、黏液相互作用与胆盐水解酶（BSH）潜能评分（0/1/2）。该注释为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属级知识先验</w:t>
      </w:r>
      <w:r>
        <w:rPr>
          <w:rFonts w:ascii="SimSun" w:cs="SimSun" w:eastAsia="SimSun" w:hAnsi="SimSun"/>
          <w:sz w:val="21"/>
          <w:szCs w:val="21"/>
        </w:rPr>
        <w:t xml:space="preserve">，非菌株级基因组实测。</w:t>
      </w:r>
    </w:p>
    <w:p>
      <w:pPr>
        <w:pStyle w:val="Heading3"/>
        <w:spacing w:after="80" w:before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2.7.2　生态学特征（数据推导）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(1)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流行率</w:t>
      </w:r>
      <w:r>
        <w:rPr>
          <w:rFonts w:ascii="SimSun" w:cs="SimSun" w:eastAsia="SimSun" w:hAnsi="SimSun"/>
          <w:sz w:val="21"/>
          <w:szCs w:val="21"/>
        </w:rPr>
        <w:t xml:space="preserve">与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平均丰度</w:t>
      </w:r>
      <w:r>
        <w:rPr>
          <w:rFonts w:ascii="SimSun" w:cs="SimSun" w:eastAsia="SimSun" w:hAnsi="SimSun"/>
          <w:sz w:val="21"/>
          <w:szCs w:val="21"/>
        </w:rPr>
        <w:t xml:space="preserve">：在匹配队列中计算。(2)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与多样性的关联</w:t>
      </w:r>
      <w:r>
        <w:rPr>
          <w:rFonts w:ascii="SimSun" w:cs="SimSun" w:eastAsia="SimSun" w:hAnsi="SimSun"/>
          <w:sz w:val="21"/>
          <w:szCs w:val="21"/>
        </w:rPr>
        <w:t xml:space="preserve">：先按 Shannon 指数 H = −Σpᵢln pᵢ 计算每例样本的 α 多样性，再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在瘦人组与肥胖组内部分别</w:t>
      </w:r>
      <w:r>
        <w:rPr>
          <w:rFonts w:ascii="SimSun" w:cs="SimSun" w:eastAsia="SimSun" w:hAnsi="SimSun"/>
          <w:sz w:val="21"/>
          <w:szCs w:val="21"/>
        </w:rPr>
        <w:t xml:space="preserve">计算该物种 log10 丰度与 Shannon 指数的 Spearman 相关系数，取两组平均。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组内计算是关键设计</w:t>
      </w:r>
      <w:r>
        <w:rPr>
          <w:rFonts w:ascii="SimSun" w:cs="SimSun" w:eastAsia="SimSun" w:hAnsi="SimSun"/>
          <w:sz w:val="21"/>
          <w:szCs w:val="21"/>
        </w:rPr>
        <w:t xml:space="preserve">：它检验的是“在胖瘦相同的人群中，菌群越多样者该菌是否越多”，因而不构成对胖瘦标签的重述，避免了循环论证。(3)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共现网络中心度</w:t>
      </w:r>
      <w:r>
        <w:rPr>
          <w:rFonts w:ascii="SimSun" w:cs="SimSun" w:eastAsia="SimSun" w:hAnsi="SimSun"/>
          <w:sz w:val="21"/>
          <w:szCs w:val="21"/>
        </w:rPr>
        <w:t xml:space="preserve">：以 Spearman |ρ|&gt;0.30 为阈值统计该物种的共现伙伴数。(4)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瘦人菌共现亲和度</w:t>
      </w:r>
      <w:r>
        <w:rPr>
          <w:rFonts w:ascii="SimSun" w:cs="SimSun" w:eastAsia="SimSun" w:hAnsi="SimSun"/>
          <w:sz w:val="21"/>
          <w:szCs w:val="21"/>
        </w:rPr>
        <w:t xml:space="preserve">：与已确认稳健瘦人标志的平均相关系数（留自身法）；因该指标与标签部分定义性重叠，仅作展示、不纳入结论。</w:t>
      </w:r>
    </w:p>
    <w:p>
      <w:pPr>
        <w:pStyle w:val="Heading3"/>
        <w:spacing w:after="80" w:before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2.7.3　知识型特征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依据分类学与微生物学文献标注：口腔来源菌（Streptococcus、Actinomyces、Veillonella、Gemella、Rothia、Haemophilus、Fusobacterium 等）、严格厌氧、芽孢形成能力、纤维降解能力。另补充胆汁酸相关的两条通路：7α-脱羟基（次级胆汁酸产生，限于 Clostridium scindens、C. hylemonae、C. hiranonis 等少数梭菌）与胆汁耐受/敏感属。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2.8　特征评估：留一属交叉验证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特征的判别力以单变量 AUC 与 Mann-Whitney U 检验评估。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跨类群泛化能力</w:t>
      </w:r>
      <w:r>
        <w:rPr>
          <w:rFonts w:ascii="SimSun" w:cs="SimSun" w:eastAsia="SimSun" w:hAnsi="SimSun"/>
          <w:sz w:val="21"/>
          <w:szCs w:val="21"/>
        </w:rPr>
        <w:t xml:space="preserve">以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留一属交叉验证</w:t>
      </w:r>
      <w:r>
        <w:rPr>
          <w:rFonts w:ascii="SimSun" w:cs="SimSun" w:eastAsia="SimSun" w:hAnsi="SimSun"/>
          <w:sz w:val="21"/>
          <w:szCs w:val="21"/>
        </w:rPr>
        <w:t xml:space="preserve">评估：每次留出一个属的全部物种作为测试集，其余属用于训练逻辑回归（L2 正则，C=0.5，标准化后）。该设计的必要性在于——属级功能注释与分类学完全共线，若采用常规随机拆分，模型可通过记忆属的身份而非学习机制获得虚高性能；留一属验证恰好剔除该信息，因而是检验“该特征能否用于预测新类群”的正确方式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2.9　自下而上程序的对比验证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项目既有的自下而上程序（由肥胖分类器 SHAP 信号方向、基因组功能潜能与安全分层推测菌株减脂效果，输出 223 株目录）以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全部 8 304 样本的未校正模型</w:t>
      </w:r>
      <w:r>
        <w:rPr>
          <w:rFonts w:ascii="SimSun" w:cs="SimSun" w:eastAsia="SimSun" w:hAnsi="SimSun"/>
          <w:sz w:val="21"/>
          <w:szCs w:val="21"/>
        </w:rPr>
        <w:t xml:space="preserve">为基础。本研究以 2.4–2.5 节的严格结果为金标准，在三个证据层级（全部受检物种、FDR&lt;0.05 显著、稳健差异菌）比较两者的一致率与 Cohen's κ，并分别计算“预测保护”与“预测促肥胖”两个方向的精确率。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2.10　菌株组合定标与重新加权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组合评分对 3–5 株的全部组合穷举打分。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版本 1</w:t>
      </w:r>
      <w:r>
        <w:rPr>
          <w:rFonts w:ascii="SimSun" w:cs="SimSun" w:eastAsia="SimSun" w:hAnsi="SimSun"/>
          <w:sz w:val="21"/>
          <w:szCs w:val="21"/>
        </w:rPr>
        <w:t xml:space="preserve">的权重基于机制假设；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版本 2</w:t>
      </w:r>
      <w:r>
        <w:rPr>
          <w:rFonts w:ascii="SimSun" w:cs="SimSun" w:eastAsia="SimSun" w:hAnsi="SimSun"/>
          <w:sz w:val="21"/>
          <w:szCs w:val="21"/>
        </w:rPr>
        <w:t xml:space="preserve">（本研究）的每一项权重均由 2.8 节的验证结果确定：与多样性关联 0.30、实测 meta 效应 0.24、机制互补 0.16、丙酸潜能 0.12、可培养性 0.10、属多样性 0.08，并对芽孢形成（−0.05）与口腔来源（−0.10）成员施加惩罚；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BSH 项由 0.16 归零</w:t>
      </w:r>
      <w:r>
        <w:rPr>
          <w:rFonts w:ascii="SimSun" w:cs="SimSun" w:eastAsia="SimSun" w:hAnsi="SimSun"/>
          <w:sz w:val="21"/>
          <w:szCs w:val="21"/>
        </w:rPr>
        <w:t xml:space="preserve">。候选池亦由全局未校正分析的 53 株升级为本研究稳健验证的 16 株，并排除硫化氢产生菌（Bilophila、Desulfovibrionaceae）、仅宏基因组拼接（MAG）物种与产甲烷古菌。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敏感性分析</w:t>
      </w:r>
      <w:r>
        <w:rPr>
          <w:rFonts w:ascii="SimSun" w:cs="SimSun" w:eastAsia="SimSun" w:hAnsi="SimSun"/>
          <w:sz w:val="21"/>
          <w:szCs w:val="21"/>
        </w:rPr>
        <w:t xml:space="preserve">：将纳入标准放宽为仅要求 FDR&lt;0.05（不强制 meta 95%CI 排除 0），候选池扩至 20 株，重复全部打分。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2.11　统计环境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全部分析在 Python 3.13 环境完成，主要依赖 pandas 2.3、numpy 2.3、scikit-learn（随机森林与逻辑回归）、statsmodels 0.14（OLS）与 scipy（Spearman 相关、Mann-Whitney U 检验）。随机数种子固定为 0 以保证可重复。双侧检验，显著性水平取 0.05。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　结果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3.1　队列构成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经逐级筛选，最终纳入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7 项独立研究</w:t>
      </w:r>
      <w:r>
        <w:rPr>
          <w:rFonts w:ascii="SimSun" w:cs="SimSun" w:eastAsia="SimSun" w:hAnsi="SimSun"/>
          <w:sz w:val="21"/>
          <w:szCs w:val="21"/>
        </w:rPr>
        <w:t xml:space="preserve">，覆盖 4 个国家（DNK、GBR、IRL、NLD），全部为鸟枪法宏基因组测序，共 1380 例瘦人与 628 例肥胖者（表 2）。各研究的两组年龄差异不一，其中人群队列（AsnicarF_2021、LifeLinesDeep_2016）与爱尔兰队列（KeohaneDM_2020）差异尤为明显，进一步印证了年龄校正的必要性。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60"/>
        <w:gridCol w:w="660"/>
        <w:gridCol w:w="720"/>
        <w:gridCol w:w="1350"/>
        <w:gridCol w:w="1400"/>
        <w:gridCol w:w="128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研究队列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国家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瘦(n)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肥胖(n)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年龄瘦/胖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女性比瘦/胖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BMI瘦/胖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AsnicarF_2021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GBR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538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144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42.7/49.2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0.77/0.74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22.2/34.9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LifeLinesDeep_2016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NLD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610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136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42.0/49.7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0.63/0.68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22.3/33.4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NielsenHB_2014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DNK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55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99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56.5/56.1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0.58/0.49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22.5/33.6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LeChatelierE_2013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DNK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94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56.2/55.7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0.62/0.52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22.5/33.7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HansenLBS_2018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DNK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70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53.4/52.7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0.88/0.49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23.0/32.1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KeohaneDM_2020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IRL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27.8/44.5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0.56/0.58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22.6/35.0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XieH_2016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GBR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94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60.3/59.4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1.0/1.0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22.1/33.4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合计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1380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628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2　合格数据队列来源与人口学特征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3.2　混杂消除的验证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匹配前，仅以年龄与性别为输入的模型即可达到 AUC 0.722，高于菌群单独模型的 0.695，提示未校正的比较存在实质性人口学混杂。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匹配后，该对照模型 AUC 降至 0.527，接近随机水平，而菌群模型仍达 0.749</w:t>
      </w:r>
      <w:r>
        <w:rPr>
          <w:rFonts w:ascii="SimSun" w:cs="SimSun" w:eastAsia="SimSun" w:hAnsi="SimSun"/>
          <w:sz w:val="21"/>
          <w:szCs w:val="21"/>
        </w:rPr>
        <w:t xml:space="preserve">（表 3，图 1B），证实观察到的菌群差异并非年龄或性别的副产品。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07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模型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留一研究 AUC</w:t>
            </w:r>
          </w:p>
        </w:tc>
        <w:tc>
          <w:tcPr>
            <w:tcW w:type="dxa" w:w="5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解读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仅年龄 + 性别（对照）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0.527</w:t>
            </w:r>
          </w:p>
        </w:tc>
        <w:tc>
          <w:tcPr>
            <w:tcW w:type="dxa" w:w="5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接近随机，混杂已消除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菌群（199 物种）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0.749</w:t>
            </w:r>
          </w:p>
        </w:tc>
        <w:tc>
          <w:tcPr>
            <w:tcW w:type="dxa" w:w="50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跨研究可泛化的独立信号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3　匹配队列上的判别效力对照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各研究留出表现存在系统性差异：丹麦三项研究（LeChatelierE_2013、HansenLBS_2018、NielsenHB_2014，源自 MetaHIT 计划）AUC 达 0.89–1.00，而人群队列（AsnicarF_2021 为 0.67、LifeLinesDeep_2016 为 0.66、XieH_2016 为 0.65）明显较低。前者以“极端表型对比”为招募设计，故判别性偏高；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人群队列的估计更接近真实世界效力</w:t>
      </w:r>
      <w:r>
        <w:rPr>
          <w:rFonts w:ascii="SimSun" w:cs="SimSun" w:eastAsia="SimSun" w:hAnsi="SimSun"/>
          <w:sz w:val="21"/>
          <w:szCs w:val="21"/>
        </w:rPr>
        <w:t xml:space="preserve">。</w:t>
      </w:r>
    </w:p>
    <w:p>
      <w:pPr>
        <w:spacing w:after="45" w:before="140"/>
        <w:jc w:val="center"/>
      </w:pPr>
      <w:r>
        <w:drawing>
          <wp:inline distT="0" distB="0" distL="0" distR="0">
            <wp:extent cx="5619750" cy="3895725"/>
            <wp:effectExtent t="0" r="0" b="0" l="0"/>
            <wp:docPr id="1" name="fig17_we_healthy_full.png" descr="图 1　西欧健康队列胖瘦差异菌群总览：(A) 校正后差异丰度火山图；(B) 留一研究交叉验证；(C) 稳健瘦人富集菌森林图；(D) 稳健肥胖富集菌森林图" title="图 1　西欧健康队列胖瘦差异菌群总览：(A) 校正后差异丰度火山图；(B) 留一研究交叉验证；(C) 稳健瘦人富集菌森林图；(D) 稳健肥胖富集菌森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图 1　西欧健康队列胖瘦差异菌群总览：(A) 校正后差异丰度火山图；(B) 留一研究交叉验证；(C) 稳健瘦人富集菌森林图；(D) 稳健肥胖富集菌森林图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3.3　差异丰度结果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 199 个受检物种中，41 个达 FDR&lt;0.05；其中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37 个</w:t>
      </w:r>
      <w:r>
        <w:rPr>
          <w:rFonts w:ascii="SimSun" w:cs="SimSun" w:eastAsia="SimSun" w:hAnsi="SimSun"/>
          <w:sz w:val="21"/>
          <w:szCs w:val="21"/>
        </w:rPr>
        <w:t xml:space="preserve">同时通过随机效应 meta 验证，判定为稳健差异菌（表 4、表 5）。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50"/>
        <w:gridCol w:w="1600"/>
        <w:gridCol w:w="1400"/>
        <w:gridCol w:w="1200"/>
        <w:gridCol w:w="112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物种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合并 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95% 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倍数(胖/瘦)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FDR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I²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Firmicutes bacterium CAG 95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0.42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0.17 ~ 0.66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0.45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1.1e-5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62%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Methanobrevibacter smithii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0.24 ~ 0.50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3.4e-6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Roseburia sp CAG 303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0.20 ~ 0.52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1.5e-5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21%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Oscillibacter sp CAG 241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0.11 ~ 0.58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0.48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1.1e-4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59%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Roseburia sp CAG 309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0.13 ~ 0.55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1.1e-4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49%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Fretibacterium fastidiosum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0.12 ~ 0.52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0.87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7.9e-3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Bacteroides cellulosilyticus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0.18 ~ 0.44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0.41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3.1e-4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Firmicutes bacterium CAG 238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0.16 ~ 0.42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9.5e-4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Butyrivibrio crossotus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0.15 ~ 0.41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0.44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1.1e-3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Eubacterium eligens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0.14 ~ 0.40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0.49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1.1e-3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Intestinimonas butyriciproducens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0.13 ~ 0.40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0.65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1.1e-3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Ruminococcaceae bacterium D5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0.26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0.13 ~ 0.39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9.4e-4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4　稳健瘦人富集菌（按合并效应量排序，前 12）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50"/>
        <w:gridCol w:w="1600"/>
        <w:gridCol w:w="1400"/>
        <w:gridCol w:w="1200"/>
        <w:gridCol w:w="112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物种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合并 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95% CI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倍数(胖/瘦)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FDR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I²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Ruminococcus gnavus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-0.31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-0.49 ~ -0.12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2.05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1.1e-4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39%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Streptococcus vestibularis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-0.25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-0.40 ~ -0.11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1.35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1.5e-3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Roseburia intestinalis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-0.25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-0.45 ~ -0.05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1.74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2.1e-2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47%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Eubacterium rectale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-0.36 ~ -0.10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1.81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4.6e-3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Flavonifractor plautii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-0.36 ~ -0.10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1.57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7.9e-3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Clostridium sp CAG 58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-0.33 ~ -0.07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1.56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1.5e-2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Allisonella histaminiformans</w:t>
            </w:r>
          </w:p>
        </w:tc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-0.17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-0.33 ~ -0.01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1.21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4.3e-2</w:t>
            </w:r>
          </w:p>
        </w:tc>
        <w:tc>
          <w:tcPr>
            <w:tcW w:type="dxa" w:w="1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25%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5　稳健肥胖富集菌（全部）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产甲烷古菌 Methanobrevibacter smithii 为最稳健的瘦人标志</w:t>
      </w:r>
      <w:r>
        <w:rPr>
          <w:rFonts w:ascii="SimSun" w:cs="SimSun" w:eastAsia="SimSun" w:hAnsi="SimSun"/>
          <w:sz w:val="21"/>
          <w:szCs w:val="21"/>
        </w:rPr>
        <w:t xml:space="preserve">（g=+0.37，I²=0%，肥胖者丰度仅为瘦人的 0.29 倍，FDR=3.4×10⁻⁶）。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Ruminococcus gnavus 在肥胖者中丰度翻倍</w:t>
      </w:r>
      <w:r>
        <w:rPr>
          <w:rFonts w:ascii="SimSun" w:cs="SimSun" w:eastAsia="SimSun" w:hAnsi="SimSun"/>
          <w:sz w:val="21"/>
          <w:szCs w:val="21"/>
        </w:rPr>
        <w:t xml:space="preserve">（2.05 倍，FDR=1.1×10⁻⁴），该菌为已知黏液降解与促炎菌。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值得注意的是，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丁酸产生菌呈现种间方向分化</w:t>
      </w:r>
      <w:r>
        <w:rPr>
          <w:rFonts w:ascii="SimSun" w:cs="SimSun" w:eastAsia="SimSun" w:hAnsi="SimSun"/>
          <w:sz w:val="21"/>
          <w:szCs w:val="21"/>
        </w:rPr>
        <w:t xml:space="preserve">：Butyrivibrio crossotus（0.44 倍，I²=0%）与 Eubacterium eligens（0.49 倍，I²=0%）富集于瘦人，而同为经典丁酸产生菌的 Roseburia intestinalis（1.74 倍）与 Eubacterium rectale（1.81 倍）却富集于肥胖。这提示以“功能属”为单位的机制推断存在方向性风险。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3.4　自下而上程序的对比验证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一致性随证据强度提升：全部受检物种仅 61.6%（κ=0.21，接近随机），稳健差异菌上达 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81.1%（κ=0.516）</w:t>
      </w:r>
      <w:r>
        <w:rPr>
          <w:rFonts w:ascii="SimSun" w:cs="SimSun" w:eastAsia="SimSun" w:hAnsi="SimSun"/>
          <w:sz w:val="21"/>
          <w:szCs w:val="21"/>
        </w:rPr>
        <w:t xml:space="preserve">（表 6）。更重要的是，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程序的可靠性高度不对称</w:t>
      </w:r>
      <w:r>
        <w:rPr>
          <w:rFonts w:ascii="SimSun" w:cs="SimSun" w:eastAsia="SimSun" w:hAnsi="SimSun"/>
          <w:sz w:val="21"/>
          <w:szCs w:val="21"/>
        </w:rPr>
        <w:t xml:space="preserve">：预测“保护/瘦人富集”时精确率为 24/25=96%，而预测“促肥胖”时仅 6/12=50%。程序并将促炎菌 Ruminococcus gnavus 误判为保护菌，构成有实际后果的错误。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000"/>
        <w:gridCol w:w="1100"/>
        <w:gridCol w:w="387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比对范围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物种数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一致率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Cohen's κ</w:t>
            </w:r>
          </w:p>
        </w:tc>
        <w:tc>
          <w:tcPr>
            <w:tcW w:type="dxa" w:w="3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全部受检物种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190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61.6%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0.21</w:t>
            </w:r>
          </w:p>
        </w:tc>
        <w:tc>
          <w:tcPr>
            <w:tcW w:type="dxa" w:w="3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弱一致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FDR&lt;0.05 显著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80.5%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0.486</w:t>
            </w:r>
          </w:p>
        </w:tc>
        <w:tc>
          <w:tcPr>
            <w:tcW w:type="dxa" w:w="3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中等一致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稳健差异菌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81.1%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0.516</w:t>
            </w:r>
          </w:p>
        </w:tc>
        <w:tc>
          <w:tcPr>
            <w:tcW w:type="dxa" w:w="3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中等一致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6　自下而上程序与严格筛选结果的一致性</w:t>
      </w:r>
    </w:p>
    <w:p>
      <w:pPr>
        <w:spacing w:after="45" w:before="140"/>
        <w:jc w:val="center"/>
      </w:pPr>
      <w:r>
        <w:drawing>
          <wp:inline distT="0" distB="0" distL="0" distR="0">
            <wp:extent cx="5619750" cy="4029075"/>
            <wp:effectExtent t="0" r="0" b="0" l="0"/>
            <wp:docPr id="1" name="fig18_bottomup_validation.png" descr="图 2　自下而上程序对比验证：(A) 混淆矩阵；(B) 一致性随证据强度变化；(C) 各特征判别力；(D) 丙酸与丁酸对比" title="图 2　自下而上程序对比验证：(A) 混淆矩阵；(B) 一致性随证据强度变化；(C) 各特征判别力；(D) 丙酸与丁酸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图 2　自下而上程序对比验证：(A) 混淆矩阵；(B) 一致性随证据强度变化；(C) 各特征判别力；(D) 丙酸与丁酸对比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3.5　机制特征的预测能力</w:t>
      </w:r>
    </w:p>
    <w:p>
      <w:pPr>
        <w:pStyle w:val="Heading3"/>
        <w:spacing w:after="80" w:before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3.5.1　功能潜能：丙酸有效，丁酸无效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剔除源自模型自身的循环特征后，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丙酸产生潜能是唯一有效的功能特征</w:t>
      </w:r>
      <w:r>
        <w:rPr>
          <w:rFonts w:ascii="SimSun" w:cs="SimSun" w:eastAsia="SimSun" w:hAnsi="SimSun"/>
          <w:sz w:val="21"/>
          <w:szCs w:val="21"/>
        </w:rPr>
        <w:t xml:space="preserve">：10 个具丙酸潜能的显著物种全部为瘦人富集（100%），高于无丙酸潜能者的 77%。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丁酸潜能无效且方向相反</w:t>
      </w:r>
      <w:r>
        <w:rPr>
          <w:rFonts w:ascii="SimSun" w:cs="SimSun" w:eastAsia="SimSun" w:hAnsi="SimSun"/>
          <w:sz w:val="21"/>
          <w:szCs w:val="21"/>
        </w:rPr>
        <w:t xml:space="preserve">：具丁酸潜能者瘦人富集率 78%，低于无丁酸潜能者的 84%（总体基线 83%）。然而，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仅用属级功能特征时留一属交叉验证 AUC 仅 0.317–0.489</w:t>
      </w:r>
      <w:r>
        <w:rPr>
          <w:rFonts w:ascii="SimSun" w:cs="SimSun" w:eastAsia="SimSun" w:hAnsi="SimSun"/>
          <w:sz w:val="21"/>
          <w:szCs w:val="21"/>
        </w:rPr>
        <w:t xml:space="preserve">，不优于随机——功能潜能与分类学共线，无法用于预测新类群。</w:t>
      </w:r>
    </w:p>
    <w:p>
      <w:pPr>
        <w:pStyle w:val="Heading3"/>
        <w:spacing w:after="80" w:before="15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3.5.2　群落多样性关联：判别力最高且唯一可跨属泛化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在生态学与知识型特征中，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与群落多样性的关联判别力最高</w:t>
      </w:r>
      <w:r>
        <w:rPr>
          <w:rFonts w:ascii="SimSun" w:cs="SimSun" w:eastAsia="SimSun" w:hAnsi="SimSun"/>
          <w:sz w:val="21"/>
          <w:szCs w:val="21"/>
        </w:rPr>
        <w:t xml:space="preserve">（AUC 0.92，P&lt;0.001）：瘦人富集菌的组内多样性关联均值为 +0.193，而肥胖富集菌仅 +0.025（表 7、图 3C）。更关键的是，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该特征是唯一能跨属泛化者</w:t>
      </w:r>
      <w:r>
        <w:rPr>
          <w:rFonts w:ascii="SimSun" w:cs="SimSun" w:eastAsia="SimSun" w:hAnsi="SimSun"/>
          <w:sz w:val="21"/>
          <w:szCs w:val="21"/>
        </w:rPr>
        <w:t xml:space="preserve">：仅用多样性关联的留一属 AUC 达 0.878，与丙酸联合可达 0.895，而仅用丙酸为 0.321、仅用知识型特征为 0.519（图 3B）。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1000"/>
        <w:gridCol w:w="1600"/>
        <w:gridCol w:w="1600"/>
        <w:gridCol w:w="147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因素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AUC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方向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瘦人富集菌均值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肥胖富集菌均值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显著性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与已确认瘦人菌共现亲和度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0.962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越高越瘦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0.129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-0.049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P&lt;0.001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与群落多样性的关联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0.92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越高越瘦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0.193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0.025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P&lt;0.001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芽孢形成能力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0.695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越高越胖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0.714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不显著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口腔来源菌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0.571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越高越胖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0.143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P=0.032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严格厌氧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0.557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越高越瘦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0.971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0.857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不显著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纤维降解能力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0.536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越高越瘦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0.429</w:t>
            </w:r>
          </w:p>
        </w:tc>
        <w:tc>
          <w:tcPr>
            <w:tcW w:type="dxa" w:w="1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不显著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7　与瘦人菌株相关的候选因素（按判别力排序，前 6）</w:t>
      </w:r>
    </w:p>
    <w:p>
      <w:pPr>
        <w:spacing w:after="45" w:before="140"/>
        <w:jc w:val="center"/>
      </w:pPr>
      <w:r>
        <w:drawing>
          <wp:inline distT="0" distB="0" distL="0" distR="0">
            <wp:extent cx="5619750" cy="3638550"/>
            <wp:effectExtent t="0" r="0" b="0" l="0"/>
            <wp:docPr id="1" name="fig19_lean_factors.png" descr="图 3　减脂相关因素筛选：(A) 各因素判别力；(B) 跨属泛化能力比较；(C) 多样性关联的组间分布；(D) 知识型性质对比" title="图 3　减脂相关因素筛选：(A) 各因素判别力；(B) 跨属泛化能力比较；(C) 多样性关联的组间分布；(D) 知识型性质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图 3　减脂相关因素筛选：(A) 各因素判别力；(B) 跨属泛化能力比较；(C) 多样性关联的组间分布；(D) 知识型性质对比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生物学层面，该结果可归纳为两种生态策略：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协作型</w:t>
      </w:r>
      <w:r>
        <w:rPr>
          <w:rFonts w:ascii="SimSun" w:cs="SimSun" w:eastAsia="SimSun" w:hAnsi="SimSun"/>
          <w:sz w:val="21"/>
          <w:szCs w:val="21"/>
        </w:rPr>
        <w:t xml:space="preserve">菌（Alistipes、Oscillibacter、Odoribacter、Barnesiella、Coprococcus）能与高多样性群落共存，随群落多样化而增多；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垄断型</w:t>
      </w:r>
      <w:r>
        <w:rPr>
          <w:rFonts w:ascii="SimSun" w:cs="SimSun" w:eastAsia="SimSun" w:hAnsi="SimSun"/>
          <w:sz w:val="21"/>
          <w:szCs w:val="21"/>
        </w:rPr>
        <w:t xml:space="preserve">菌（Prevotella copri、Ruminococcus gnavus、Collinsella、Eggerthella）则在单一化群落中爆发。以 Prevotella copri 为例，其在低多样性人群中平均丰度达 15.87%，而在高多样性人群中仅 1.58%，此种“占位垄断”模式恰可解释其百分点差极大（−2.62）而标准化效应很小（d=−0.16）的表观矛盾。</w:t>
      </w:r>
    </w:p>
    <w:p>
      <w:pPr>
        <w:spacing w:after="45" w:before="140"/>
        <w:jc w:val="center"/>
      </w:pPr>
      <w:r>
        <w:drawing>
          <wp:inline distT="0" distB="0" distL="0" distR="0">
            <wp:extent cx="5619750" cy="3857625"/>
            <wp:effectExtent t="0" r="0" b="0" l="0"/>
            <wp:docPr id="1" name="fig20_diversity_detail.png" descr="图 4　多样性关联详解：(A) 队列 α 多样性指标；(B) 多样性伴随菌与低多样性伴随菌排序；(C) 高/低多样性人群中的实际丰度；(D) 属级规律" title="图 4　多样性关联详解：(A) 队列 α 多样性指标；(B) 多样性伴随菌与低多样性伴随菌排序；(C) 高/低多样性人群中的实际丰度；(D) 属级规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图 4　多样性关联详解：(A) 队列 α 多样性指标；(B) 多样性伴随菌与低多样性伴随菌排序；(C) 高/低多样性人群中的实际丰度；(D) 属级规律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3.6　胆汁酸（BSH）预测能力评估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鉴于胆盐水解酶（BSH）在既有组合评分中被赋予 16% 的“降胆固醇”权重，本研究对其作专门评估。结果显示：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BSH 对瘦人富集无任何预测能力</w:t>
      </w:r>
      <w:r>
        <w:rPr>
          <w:rFonts w:ascii="SimSun" w:cs="SimSun" w:eastAsia="SimSun" w:hAnsi="SimSun"/>
          <w:sz w:val="21"/>
          <w:szCs w:val="21"/>
        </w:rPr>
        <w:t xml:space="preserve">（AUC 0.517，P=0.852），远低于丙酸（0.647）与多样性关联（0.920）；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跨属泛化 AUC 仅 0.027</w:t>
      </w:r>
      <w:r>
        <w:rPr>
          <w:rFonts w:ascii="SimSun" w:cs="SimSun" w:eastAsia="SimSun" w:hAnsi="SimSun"/>
          <w:sz w:val="21"/>
          <w:szCs w:val="21"/>
        </w:rPr>
        <w:t xml:space="preserve">，即系统性反向；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纳入 BSH 反使最佳模型由 0.878 降至 0.798</w:t>
      </w:r>
      <w:r>
        <w:rPr>
          <w:rFonts w:ascii="SimSun" w:cs="SimSun" w:eastAsia="SimSun" w:hAnsi="SimSun"/>
          <w:sz w:val="21"/>
          <w:szCs w:val="21"/>
        </w:rPr>
        <w:t xml:space="preserve">（表 8）。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2870"/>
      </w:tblGrid>
      <w:tr>
        <w:trPr>
          <w:tblHeader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特征组合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留一属 CV AUC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仅多样性关联(对照)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0.878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可泛化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多样性+BSH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0.798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弱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仅丙酸(对照)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0.321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远低于随机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胆汁酸全轴(BSH+脱羟基+耐受)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0.246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远低于随机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仅 BSH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0.027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远低于随机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8　胆汁酸相关特征的跨属泛化能力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进一步分析表明，41 个显著物种中仅 7 个 BSH 阳性，其中 6 个瘦人富集者有 5 个属拟杆菌属——而拟杆菌属本身即为丙酸产生菌且多样性关联为正（ρ 为 +0.15 至 +0.21），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BSH 的表观关联可由丙酸与多样性充分解释</w:t>
      </w:r>
      <w:r>
        <w:rPr>
          <w:rFonts w:ascii="SimSun" w:cs="SimSun" w:eastAsia="SimSun" w:hAnsi="SimSun"/>
          <w:sz w:val="21"/>
          <w:szCs w:val="21"/>
        </w:rPr>
        <w:t xml:space="preserve">。此外存在两项硬约束：其一，具强 BSH 的乳杆菌类在 199 个受检物种中仅 2 个，说明 BSH 属于“外源补充益生菌”范式而非肠道常驻生态；其二，可关联到干预菌种的血脂结局仅 6 行，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远不足以检验“BSH→降胆固醇”假说本身</w:t>
      </w:r>
      <w:r>
        <w:rPr>
          <w:rFonts w:ascii="SimSun" w:cs="SimSun" w:eastAsia="SimSun" w:hAnsi="SimSun"/>
          <w:sz w:val="21"/>
          <w:szCs w:val="21"/>
        </w:rPr>
        <w:t xml:space="preserve">。</w:t>
      </w:r>
    </w:p>
    <w:p>
      <w:pPr>
        <w:spacing w:after="45" w:before="140"/>
        <w:jc w:val="center"/>
      </w:pPr>
      <w:r>
        <w:drawing>
          <wp:inline distT="0" distB="0" distL="0" distR="0">
            <wp:extent cx="5619750" cy="3838575"/>
            <wp:effectExtent t="0" r="0" b="0" l="0"/>
            <wp:docPr id="1" name="fig21_bile_acid_assessment.png" descr="图 5　胆汁酸（BSH）预测能力评估：(A) 各轴判别力；(B) 跨属泛化；(C) BSH 阳性物种归属；(D) 注释覆盖与 RCT 证据约束" title="图 5　胆汁酸（BSH）预测能力评估：(A) 各轴判别力；(B) 跨属泛化；(C) BSH 阳性物种归属；(D) 注释覆盖与 RCT 证据约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图 5　胆汁酸（BSH）预测能力评估：(A) 各轴判别力；(B) 跨属泛化；(C) BSH 阳性物种归属；(D) 注释覆盖与 RCT 证据约束</w:t>
      </w:r>
    </w:p>
    <w:p>
      <w:pPr>
        <w:pStyle w:val="Heading2"/>
        <w:spacing w:after="100" w:before="190"/>
      </w:pPr>
      <w:r>
        <w:rPr>
          <w:rFonts w:ascii="SimHei" w:cs="SimHei" w:eastAsia="SimHei" w:hAnsi="SimHei"/>
          <w:b/>
          <w:bCs/>
          <w:sz w:val="23"/>
          <w:szCs w:val="23"/>
        </w:rPr>
        <w:t xml:space="preserve">3.7　菌株组合定标的重新加权与敏感性分析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依据上述验证结果重构组合评分（版本 2）：与多样性关联升为首要权重（0.30），实测 meta 效应次之（0.24），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BSH 项归零</w:t>
      </w:r>
      <w:r>
        <w:rPr>
          <w:rFonts w:ascii="SimSun" w:cs="SimSun" w:eastAsia="SimSun" w:hAnsi="SimSun"/>
          <w:sz w:val="21"/>
          <w:szCs w:val="21"/>
        </w:rPr>
        <w:t xml:space="preserve">，丁酸不再作为正向项，并对芽孢形成与口腔来源成员施加惩罚。候选池由全局未校正分析的 53 株升级为本研究稳健验证的 16 株。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7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评分项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版本 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版本 2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调整依据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与多样性关联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0.30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AUC 0.920，唯一可跨属泛化（0.878）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实测胖瘦效应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0.24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本研究 meta 合并效应量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机制互补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0.16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仍为设计原则，不再主导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丙酸潜能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隐含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0.12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AUC 0.647，但不可跨属泛化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菌株性质（可培养）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0.10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基本不变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属多样性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0.08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组合层面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BSH 降胆固醇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0.00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AUC 0.517；跨属 0.027；纳入后性能下降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丁酸（正向项）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隐含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不计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AUC 0.540 且方向相反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惩罚：芽孢/口腔来源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−0.05 / −0.10</w:t>
            </w:r>
          </w:p>
        </w:tc>
        <w:tc>
          <w:tcPr>
            <w:tcW w:type="dxa" w:w="4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均为肥胖富集倾向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9　组合评分权重的调整及其依据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重新加权后，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首选组合为人肠巴恩斯氏菌（Barnesiella intestinihominis）、内脏臭杆菌（Odoribacter splanchnicus）与腐败另枝菌（Alistipes putredinis）</w:t>
      </w:r>
      <w:r>
        <w:rPr>
          <w:rFonts w:ascii="SimSun" w:cs="SimSun" w:eastAsia="SimSun" w:hAnsi="SimSun"/>
          <w:sz w:val="21"/>
          <w:szCs w:val="21"/>
        </w:rPr>
        <w:t xml:space="preserve">（综合分 0.7631），三者恰为候选池中多样性关联最高的前三名（ρ 分别为 +0.36、+0.35、+0.33）。若需覆盖全部三条机制轴，可采用第 4 位的五株方案（增加解纤维素拟杆菌与产丁酸肠单胞菌）。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620"/>
        <w:gridCol w:w="800"/>
        <w:gridCol w:w="1300"/>
        <w:gridCol w:w="115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排名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组合成员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株数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机制轴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多样性ρ均值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5"/>
                <w:szCs w:val="15"/>
              </w:rPr>
              <w:t xml:space="preserve">综合分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人肠巴恩斯氏菌 + 内脏臭杆菌 + 腐败另枝菌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2/3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0.35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0.7631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人肠巴恩斯氏菌 + 腐败另枝菌 + 解纤维素拟杆菌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2/3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0.7607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人肠巴恩斯氏菌 + 内脏臭杆菌 + 腐败另枝菌 + 解纤维素拟杆菌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2/3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0.31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0.7584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人肠巴恩斯氏菌 + 内脏臭杆菌 + 腐败另枝菌 + 解纤维素拟杆菌 + 产丁酸肠单胞菌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3/3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0.28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0.7577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人肠巴恩斯氏菌 + 内脏臭杆菌 + 解纤维素拟杆菌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2/3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0.7568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内脏臭杆菌 + 腐败另枝菌 + 解纤维素拟杆菌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2/3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0.30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46"/>
              <w:left w:type="dxa" w:w="70"/>
              <w:bottom w:type="dxa" w:w="46"/>
              <w:right w:type="dxa" w:w="7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5"/>
                <w:szCs w:val="15"/>
              </w:rPr>
              <w:t xml:space="preserve">0.7532</w:t>
            </w:r>
          </w:p>
        </w:tc>
      </w:tr>
    </w:tbl>
    <w:p>
      <w:pPr>
        <w:spacing w:after="170" w:before="6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表 10　版本 2 重新加权后的前 6 位组合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敏感性分析</w:t>
      </w:r>
      <w:r>
        <w:rPr>
          <w:rFonts w:ascii="SimSun" w:cs="SimSun" w:eastAsia="SimSun" w:hAnsi="SimSun"/>
          <w:sz w:val="21"/>
          <w:szCs w:val="21"/>
        </w:rPr>
        <w:t xml:space="preserve">：将纳入标准放宽为仅要求 FDR&lt;0.05（不强制 meta 95%CI 排除 0），候选池由 16 株扩至 20 株（含嗜黏蛋白阿克曼氏菌），组合数由 6 519 增至 20 196。结果显示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首选组合完全不变</w:t>
      </w:r>
      <w:r>
        <w:rPr>
          <w:rFonts w:ascii="SimSun" w:cs="SimSun" w:eastAsia="SimSun" w:hAnsi="SimSun"/>
          <w:sz w:val="21"/>
          <w:szCs w:val="21"/>
        </w:rPr>
        <w:t xml:space="preserve">（同为上述三株，综合分 0.7631），表明结论对纳入标准稳健。嗜黏蛋白阿克曼氏菌所在的最佳组合位列第 9（综合分 0.7471，与首位差 0.016），其未能进入前列的原因是多样性关联较低（ρ=+0.23）而非被排除；考虑到该菌文献证据充分且已商业化，可将其作为第四或第五成员的备选方案。</w:t>
      </w:r>
    </w:p>
    <w:p>
      <w:pPr>
        <w:spacing w:after="45" w:before="140"/>
        <w:jc w:val="center"/>
      </w:pPr>
      <w:r>
        <w:drawing>
          <wp:inline distT="0" distB="0" distL="0" distR="0">
            <wp:extent cx="5619750" cy="3333750"/>
            <wp:effectExtent t="0" r="0" b="0" l="0"/>
            <wp:docPr id="1" name="fig22_combination_v2.png" descr="图 6　组合定标的重新加权：(A) 权重调整对比；(B) 版本 2 候选池；(C) 前 8 位组合；(D) 首选组合的变化" title="图 6　组合定标的重新加权：(A) 权重调整对比；(B) 版本 2 候选池；(C) 前 8 位组合；(D) 首选组合的变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SimHei" w:cs="SimHei" w:eastAsia="SimHei" w:hAnsi="SimHei"/>
          <w:b/>
          <w:bCs/>
          <w:sz w:val="16"/>
          <w:szCs w:val="16"/>
        </w:rPr>
        <w:t xml:space="preserve">图 6　组合定标的重新加权：(A) 权重调整对比；(B) 版本 2 候选池；(C) 前 8 位组合；(D) 首选组合的变化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　讨论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本研究的首要发现是：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在严格控制年龄、性别、批次与代谢疾病之后，肠道菌群与肥胖的关联依然稳健存在</w:t>
      </w:r>
      <w:r>
        <w:rPr>
          <w:rFonts w:ascii="SimSun" w:cs="SimSun" w:eastAsia="SimSun" w:hAnsi="SimSun"/>
          <w:sz w:val="21"/>
          <w:szCs w:val="21"/>
        </w:rPr>
        <w:t xml:space="preserve">。这一点的确立并不平凡——在未匹配的原始数据中，仅年龄与性别即可达到 AUC 0.722，高于菌群本身，说明文献中相当一部分“肥胖菌群特征”可能包含了未被识别的人口学成分。本研究通过研究内匹配使该对照模型降至 0.527，从而将菌群信号与混杂彻底分离。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第二项发现涉及机制推断的方法学。既有的菌株筛选实践广泛采用“功能属”先验，即认定丁酸产生菌或含 BSH 的菌具有代谢获益。本研究以数据检验了这一假设，结果并不支持：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丁酸潜能的判别力仅 0.540 且方向相反</w:t>
      </w:r>
      <w:r>
        <w:rPr>
          <w:rFonts w:ascii="SimSun" w:cs="SimSun" w:eastAsia="SimSun" w:hAnsi="SimSun"/>
          <w:sz w:val="21"/>
          <w:szCs w:val="21"/>
        </w:rPr>
        <w:t xml:space="preserve">，同属的 Butyrivibrio crossotus 与 Roseburia intestinalis 在胖瘦方向上截然相反；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BSH 更是完全无预测力</w:t>
      </w:r>
      <w:r>
        <w:rPr>
          <w:rFonts w:ascii="SimSun" w:cs="SimSun" w:eastAsia="SimSun" w:hAnsi="SimSun"/>
          <w:sz w:val="21"/>
          <w:szCs w:val="21"/>
        </w:rPr>
        <w:t xml:space="preserve">（0.517），其跨属表现甚至系统性反向。二者共同说明，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属级功能注释不足以支撑菌株层面的机制推断</w:t>
      </w:r>
      <w:r>
        <w:rPr>
          <w:rFonts w:ascii="SimSun" w:cs="SimSun" w:eastAsia="SimSun" w:hAnsi="SimSun"/>
          <w:sz w:val="21"/>
          <w:szCs w:val="21"/>
        </w:rPr>
        <w:t xml:space="preserve">，正确的做法是下沉到种或菌株级证据。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第三项发现具有直接的应用价值：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与群落多样性的关联是判别瘦人相关菌的最强指标，且是唯一能跨类群泛化者</w:t>
      </w:r>
      <w:r>
        <w:rPr>
          <w:rFonts w:ascii="SimSun" w:cs="SimSun" w:eastAsia="SimSun" w:hAnsi="SimSun"/>
          <w:sz w:val="21"/>
          <w:szCs w:val="21"/>
        </w:rPr>
        <w:t xml:space="preserve">。其生物学意涵在于区分两种生态策略——协作型菌与多样群落共存，垄断型菌在失衡群落中占位扩张。由于该指标可对任何在公开队列中出现的物种直接计算，无需基因组注释或临床试验，因而可作为新候选菌株的快速初筛工具。需要强调的是，该指标反映的是生态兼容性而非因果效力，其高判别力不等同于补充该菌即可致减脂。</w:t>
      </w:r>
    </w:p>
    <w:p>
      <w:pPr>
        <w:spacing w:after="100" w:line="340"/>
        <w:ind w:firstLine="440"/>
        <w:jc w:val="both"/>
      </w:pPr>
      <w:r>
        <w:rPr>
          <w:rFonts w:ascii="SimSun" w:cs="SimSun" w:eastAsia="SimSun" w:hAnsi="SimSun"/>
          <w:sz w:val="21"/>
          <w:szCs w:val="21"/>
        </w:rPr>
        <w:t xml:space="preserve">在应用层面，本研究据实测结果重构了组合定标：移除 BSH 权重、提升多样性关联与实测效应权重后，首选组合发生实质变化，且该结论在放宽纳入标准的敏感性分析中保持不变。这体现了一种可推广的工作方式——</w:t>
      </w:r>
      <w:r>
        <w:rPr>
          <w:rFonts w:ascii="SimSun" w:cs="SimSun" w:eastAsia="SimSun" w:hAnsi="SimSun"/>
          <w:b/>
          <w:bCs/>
          <w:sz w:val="21"/>
          <w:szCs w:val="21"/>
        </w:rPr>
        <w:t xml:space="preserve">以验证结果而非机制直觉决定权重</w:t>
      </w:r>
      <w:r>
        <w:rPr>
          <w:rFonts w:ascii="SimSun" w:cs="SimSun" w:eastAsia="SimSun" w:hAnsi="SimSun"/>
          <w:sz w:val="21"/>
          <w:szCs w:val="21"/>
        </w:rPr>
        <w:t xml:space="preserve">。</w:t>
      </w:r>
    </w:p>
    <w:p>
      <w:pPr>
        <w:pStyle w:val="Heading1"/>
        <w:spacing w:after="14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　结论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在 7 项西欧研究、2008 例无代谢疾病受试者中，经研究内年龄性别 1:1 匹配与回归双重校正后，肠道菌群仍能跨研究区分胖瘦（留一研究 AUC 0.749），而人口学信息已完全失效（0.527）。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共鉴定 37 个稳健差异物种；产甲烷古菌 Methanobrevibacter smithii 为最稳健瘦人标志，Ruminococcus gnavus 在肥胖者中丰度翻倍。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丁酸产生菌存在种间方向分化，菌株筛选必须采用种级而非属级分辨率。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与群落多样性的关联是判别力最高（AUC 0.920）且唯一可跨属泛化（留一属 0.878）的特征，建议作为新菌株的首选初筛指标。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胆盐水解酶（BSH）对减脂无预测能力（AUC 0.517），跨属系统性反向，且纳入后损害模型性能；现有 16% 的“降胆固醇”权重缺乏数据支持，应予移除。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据验证结果重新加权后，首选组合为人肠巴恩斯氏菌、内脏臭杆菌与腐败另枝菌，并在放宽纳入标准的敏感性分析中保持不变。</w:t>
      </w:r>
    </w:p>
    <w:p>
      <w:pPr>
        <w:pStyle w:val="Heading1"/>
        <w:spacing w:after="14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　局限性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本研究为横断面关联分析，不能推断因果；补充上述菌株能否致减脂，须经干预试验验证。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1:1 匹配使样本量由 2 008 降至 904，统计效能下降、置信区间变宽，且年龄极端的个体被舍弃。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饮食结构、用药（尤其抗生素）、体力活动等潜在混杂因素在原始数据中缺失，无法纳入校正。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队列设计异质：丹麦 MetaHIT 系列为极端表型招募，判别效力偏高；人群队列的估计更为保守。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机制特征评估中显著物种仅 41 个（其中肥胖富集 7 个），类别不平衡，低 AUC 的估计不稳定；丙酸 10/10 的完美关联基于 n=10，需更大样本复核。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功能潜能为属级知识先验而非菌株级基因组实测，可能低估菌株间差异。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“与已确认瘦人菌的共现亲和度”含部分定义性循环，已在文中标注并排除于结论之外。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结论限于西欧人群；前期分层分析显示部分物种（如 Roseburia intestinalis）在东亚人群中方向相反。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SimSun" w:cs="SimSun" w:eastAsia="SimSun" w:hAnsi="SimSun"/>
          <w:sz w:val="21"/>
          <w:szCs w:val="21"/>
        </w:rPr>
        <w:t xml:space="preserve">组合评分权重虽有验证依据，仍为专家设定而非由结局数据拟合；组合结果为候选定标，非疗效预测。</w:t>
      </w:r>
    </w:p>
    <w:p>
      <w:pPr>
        <w:pStyle w:val="Heading1"/>
        <w:spacing w:after="14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7　数据与代码可用性</w:t>
      </w:r>
    </w:p>
    <w:p>
      <w:pPr>
        <w:spacing w:after="100" w:line="3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分析脚本</w:t>
      </w:r>
      <w:r>
        <w:rPr>
          <w:rFonts w:ascii="SimSun" w:cs="SimSun" w:eastAsia="SimSun" w:hAnsi="SimSun"/>
          <w:sz w:val="21"/>
          <w:szCs w:val="21"/>
        </w:rPr>
        <w:t xml:space="preserve">：we_healthy_full_analysis.py（队列构建、匹配、差异分析、meta 分析与机器学习验证）、bottomup_vs_screened_validation.py（程序对比验证）、lean_associated_factors_discovery.py（机制特征筛选）、bile_acid_prediction_assessment.py（胆汁酸评估）、synergistic_lean_combinations_v2.py（组合重新加权，支持 robust/relaxed 两种纳入模式）。</w:t>
      </w:r>
    </w:p>
    <w:p>
      <w:pPr>
        <w:spacing w:after="100" w:line="3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结果数据</w:t>
      </w:r>
      <w:r>
        <w:rPr>
          <w:rFonts w:ascii="SimSun" w:cs="SimSun" w:eastAsia="SimSun" w:hAnsi="SimSun"/>
          <w:sz w:val="21"/>
          <w:szCs w:val="21"/>
        </w:rPr>
        <w:t xml:space="preserve">：results/prediction_results/we_healthy/（队列来源、匹配队列、完整差异分析、分析摘要）、bottomup_validation/、lean_factors/、bile_acid/，以及 results/combination_recommendations/（候选池、组合评分、敏感性分析）。</w:t>
      </w:r>
    </w:p>
    <w:p>
      <w:pPr>
        <w:spacing w:after="100" w:line="340"/>
        <w:jc w:val="both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配套数据表</w:t>
      </w:r>
      <w:r>
        <w:rPr>
          <w:rFonts w:ascii="SimSun" w:cs="SimSun" w:eastAsia="SimSun" w:hAnsi="SimSun"/>
          <w:sz w:val="21"/>
          <w:szCs w:val="21"/>
        </w:rPr>
        <w:t xml:space="preserve">：西欧队列与机制分析_完整数据_20260625.xlsx，含全部原始统计结果与方法参数。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—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SimHei" w:cs="SimHei" w:eastAsia="SimHei" w:hAnsi="Sim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SimHei" w:cs="SimHei" w:eastAsia="SimHei" w:hAnsi="SimHei"/>
      <w:b/>
      <w:bCs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SimHei" w:cs="SimHei" w:eastAsia="SimHei" w:hAnsi="SimHei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366f8f9bc087e9de0f28581c9aa34f6f7b64ee5.png"/><Relationship Id="rId9" Type="http://schemas.openxmlformats.org/officeDocument/2006/relationships/image" Target="media/e5e1a00d7608ddd8d2f2629b05f33a49bbe3f6bf.png"/><Relationship Id="rId10" Type="http://schemas.openxmlformats.org/officeDocument/2006/relationships/image" Target="media/7a97212011b1f7f154ca8856170d86268456559d.png"/><Relationship Id="rId11" Type="http://schemas.openxmlformats.org/officeDocument/2006/relationships/image" Target="media/f2730b5718804c50b66fda4d63bd67a9cd9e7e8a.png"/><Relationship Id="rId12" Type="http://schemas.openxmlformats.org/officeDocument/2006/relationships/image" Target="media/32cd3c4f7eb9a059b5850b1d05b9ac18245f3aca.png"/><Relationship Id="rId13" Type="http://schemas.openxmlformats.org/officeDocument/2006/relationships/image" Target="media/a0e61737a4166518fb4e6569a32a5930cb29424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2026-07-29T08:02:07.135Z</dcterms:created>
  <dcterms:modified xsi:type="dcterms:W3CDTF">2026-07-29T08:02:07.137Z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