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52"/>
          <w:szCs w:val="52"/>
        </w:rPr>
        <w:t xml:space="preserve">ProSlim-Microbiome-AI</w:t>
      </w:r>
    </w:p>
    <w:p>
      <w:pPr>
        <w:spacing w:after="120"/>
        <w:jc w:val="center"/>
      </w:pPr>
      <w:r>
        <w:rPr>
          <w:b/>
          <w:bCs/>
          <w:color w:val="2E5A88"/>
          <w:sz w:val="36"/>
          <w:szCs w:val="36"/>
        </w:rPr>
        <w:t xml:space="preserve">完整可交付报告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减重相关肠道微生物：肥胖状态预测 · 干预应答评估 · 候选菌筛选与组合设计</w:t>
      </w:r>
    </w:p>
    <w:p>
      <w:pPr>
        <w:jc w:val="center"/>
      </w:pPr>
      <w:r>
        <w:rPr>
          <w:sz w:val="20"/>
          <w:szCs w:val="20"/>
        </w:rPr>
        <w:t xml:space="preserve">版本 v1.1　|　日期 2026-06-14</w:t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范围：全链路（数据 → 双模型 → 223 菌筛选 → 组合假设）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阅读须知（诚实声明）</w:t>
      </w:r>
    </w:p>
    <w:p>
      <w:pPr>
        <w:spacing w:after="120"/>
      </w:pPr>
      <w:r>
        <w:t xml:space="preserve">本报告区分三类结论，请勿混淆：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已验证信号：经跨队列/留出验证、优于基线的结果（仅肥胖状态模型）。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诚实否定：经正确方法验证后不成立的结果（干预效应量不优于均值）。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知识先验 / 设计假设：基于分类学/比较基因组的标注与机制设计——用于分流和优先级，不替代基因组级实测，不冒充疗效。</w:t>
      </w:r>
    </w:p>
    <w:p>
      <w:pPr>
        <w:spacing w:after="120"/>
      </w:pPr>
      <w:r>
        <w:t xml:space="preserve">两道门控贯穿全程：安全门（谁能进，需基因组确认）与疗效门（combination_ranking_enabled=false，效应量无信号则不发疗效排序）。二者独立。</w:t>
      </w:r>
    </w:p>
    <w:p>
      <w:pPr>
        <w:pStyle w:val="Heading1"/>
      </w:pPr>
      <w:r>
        <w:t xml:space="preserve">1. 执行摘要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一句话：建成了一个有信号的肥胖状态模型和一条安全分层、机制合理、可送验证的候选菌→组合设计链；但干预疗效在当前数据下不可预测，组合的“有效性”诚实地保持未解锁。</w:t>
      </w:r>
    </w:p>
    <w:p>
      <w:pPr>
        <w:pStyle w:val="Heading1"/>
      </w:pPr>
      <w:r>
        <w:t xml:space="preserve">2. 目标与范围</w:t>
      </w:r>
    </w:p>
    <w:p>
      <w:pPr>
        <w:spacing w:after="120"/>
      </w:pPr>
      <w:r>
        <w:t xml:space="preserve">预测三件事：① 人群肥胖状态（微生物组→BMI/分类）；② 干预应答（菌株/配方的减重效应量）；③ 候选菌与组合（基于证据+机制+安全的筛选与设计）。</w:t>
      </w:r>
    </w:p>
    <w:p>
      <w:pPr>
        <w:pStyle w:val="Heading1"/>
      </w:pPr>
      <w:r>
        <w:t xml:space="preserve">3. 数据基础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样本级微生物组：curatedMetagenomicData，8304 样本（瘦 4432/超重 2310/肥胖 1562）× 1405 物种，45 研究，BMI 全覆盖（11–66）。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文献证据：659 去重 RCT/试验候选；83 研究进入效应量数据集，高置信含 SE 约 20-34 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基因组：候选菌 NCBI assembly + 本报告新增 223 物种基因组映射。</w:t>
      </w:r>
    </w:p>
    <w:p>
      <w:pPr>
        <w:pStyle w:val="Heading1"/>
      </w:pPr>
      <w:r>
        <w:t xml:space="preserve">4. 模型线 A — 肥胖状态模型（已验证信号）</w:t>
      </w:r>
    </w:p>
    <w:p>
      <w:pPr>
        <w:spacing w:after="120"/>
      </w:pPr>
      <w:r>
        <w:t xml:space="preserve">方法：HistGradientBoosting，206 物种特征（≥10% 流行率，log10 丰度）。按研究分组 10 折 CV（留出整个研究=新队列）为主，随机 CV 仅暴露混杂乐观偏差。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13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可解释（SHAP）：保护型（Bifidobacterium longum、Phascolarctobacterium faecium、Turicibacter）；肥胖型（Allisonella histaminiformans 居首）。SHAP × 点二列相关 × 研究内分层一致性三方互证。</w:t>
      </w:r>
    </w:p>
    <w:p>
      <w:pPr>
        <w:spacing w:after="120"/>
      </w:pPr>
      <w:r>
        <w:t xml:space="preserve">意义：项目首个跨留出队列优于基线的模型。乐观偏差（0.73 vs 0.83）被如实暴露——约一半表面信号来自批次混杂，剩余 0.73 是真生物学。</w:t>
      </w:r>
    </w:p>
    <w:p>
      <w:pPr>
        <w:pStyle w:val="Heading1"/>
      </w:pPr>
      <w:r>
        <w:t xml:space="preserve">5. 模型线 B — 干预效应量模型（诚实否定 + 方法学纠正）</w:t>
      </w:r>
    </w:p>
    <w:p>
      <w:pPr>
        <w:spacing w:after="120"/>
      </w:pPr>
      <w:r>
        <w:t xml:space="preserve">问题诊断：原 ML 留一验证在每 stratum 仅 5–12 研究上拟合 3–4 特征——统计方法错配，结果“0 stratum 优于均值基线”。</w:t>
      </w:r>
    </w:p>
    <w:p>
      <w:pPr>
        <w:spacing w:after="120"/>
      </w:pPr>
      <w:r>
        <w:t xml:space="preserve">方法学纠正（v1.1 严格版）：改用 Paule-Mandel τ² + 修正 HKSJ 区间（小样本正确方法），仅纳入直接方差（reported CI 或臂级 SD+n），p 值反算 SE 降级为敏感性；配合别名去重、共干预标记、缺失方差 bootstrap 三角验证、证据层敏感性。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500"/>
        <w:gridCol w:w="1700"/>
        <w:gridCol w:w="660"/>
        <w:gridCol w:w="23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关键修正：v1.0 基于较弱的 DL 方法 + p 值反算方差，曾报 body_fat −0.44 [−0.74,−0.13] CI 排除 0。严格 HKSJ + 直接方差下此结论不成立——body_fat 直接方差仅 k=1，效应双向（4 负 2 正），降级为优先复制假设。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基因组 moderator / 人群特征桥接：均为小样本假象或过拟合，无稳健增益。两条线不能用人群特征桥接，需个体级 IPD。</w:t>
      </w:r>
    </w:p>
    <w:p>
      <w:pPr>
        <w:spacing w:after="120"/>
      </w:pPr>
      <w:r>
        <w:t xml:space="preserve">结论：严格小样本方法下，0 个 stratum 复制就绪、0 优于均值基线。weight 边际合并降低（−1.62 kg）但 I²=76%、预测区间与敏感性均跨 0，不可作疗效信号。这是正确方法得出的诚实零结果；约束被定位为直接方差研究太少（仅 13 研究/39 行）。combination_ranking_enabled 保持 false。</w:t>
      </w:r>
    </w:p>
    <w:p>
      <w:pPr>
        <w:pStyle w:val="Heading1"/>
      </w:pPr>
      <w:r>
        <w:t xml:space="preserve">6. 菌株筛选库（10 → 223）与三步标注</w:t>
      </w:r>
    </w:p>
    <w:p>
      <w:pPr>
        <w:spacing w:after="120"/>
      </w:pPr>
      <w:r>
        <w:t xml:space="preserve">为何扩库：旧候选仅含临床测过的菌（数量少）；筛选库改为基因组/信号驱动——肥胖签名的人源菌 + 食品级益生菌。构成：109 人源共生 + 76 NGP + 38 食品级 = 223。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整合优先清单：79 机制候选（isolate 基因组 + 安全 + 有利机制）。不利机制硬排除（Desulfovibrio/Bilophila 产 H₂S、Allisonella 产组胺——与 SHAP 双重一致）。</w:t>
      </w:r>
    </w:p>
    <w:p>
      <w:pPr>
        <w:pStyle w:val="Heading1"/>
      </w:pPr>
      <w:r>
        <w:t xml:space="preserve">7. 组合安全门与机制设计假设</w:t>
      </w:r>
    </w:p>
    <w:p>
      <w:pPr>
        <w:spacing w:after="120"/>
      </w:pPr>
      <w:r>
        <w:t xml:space="preserve">安全门资格（223 → 准入分流）：105 安全可入池（40 NGP + 39 共生 + 26 食品级），全标 pending（需真筛查）；28 硬排除（病原/AMR 属 + 不利机制）；90 无 isolate 基因组不可 QC。</w:t>
      </w:r>
    </w:p>
    <w:p>
      <w:pPr>
        <w:spacing w:after="120"/>
      </w:pPr>
      <w:r>
        <w:t xml:space="preserve">机制互补组合假设（201）：覆盖互补 SCFA/胆汁酸 niche + 交叉喂养。头号设计：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完整 SCFA 谱（乙酸→丁酸→丙酸）+ BSH 降脂 + 黏液屏障；含乳酸→丁酸交叉喂养；含 QPS 可交付锚 + 恢复耗竭保护菌。</w:t>
      </w:r>
    </w:p>
    <w:p>
      <w:pPr>
        <w:spacing w:after="120"/>
      </w:pPr>
      <w:r>
        <w:t xml:space="preserve">门控：predicted_response 全空，combination_ranking_enabled=false。这是临床前机制设计假设，非疗效。</w:t>
      </w:r>
    </w:p>
    <w:p>
      <w:pPr>
        <w:pStyle w:val="Heading1"/>
      </w:pPr>
      <w:r>
        <w:t xml:space="preserve">8. 局限与门控（务必阅读）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安全/功能标注为知识先验，无法检测菌株特异 AMR/毒力/可移动元件 → 需基因组级实测。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除 5 个临床证据菌外，其余为筛选假设；“肥胖中耗竭”是关联非因果。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41 个 MAG 有基因组信息但不可作产品。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疗效未解锁：效应量不可预测，组合不发疗效排序。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肥胖模型有混杂乐观偏差（已暴露），且为状态预测，非个体应答。</w:t>
      </w:r>
    </w:p>
    <w:p>
      <w:pPr>
        <w:pStyle w:val="Heading1"/>
      </w:pPr>
      <w:r>
        <w:t xml:space="preserve">9. 下一步路线（按杠杆）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60"/>
        <w:gridCol w:w="2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真筛查 SOP（落地步骤 2/3）：datasets download → AMRFinderPlus/abricate(CARD/VFDB/ResFinder) 安全 → prokka/bakta + antiSMASH + BSH/bai 检测功能 → 体外验证 → 通过安全门方进推荐。</w:t>
      </w:r>
    </w:p>
    <w:p>
      <w:pPr>
        <w:pStyle w:val="Heading1"/>
      </w:pPr>
      <w:r>
        <w:t xml:space="preserve">10. 主要产出文件索引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模型：models/obesity_classifier/、models/BMI_regressor/；obesity_model_metrics_20260613.json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可解释：results/SHAP_results/obesity_shap_{beeswarm,bar}_20260613.png + shap_importance 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效应量：effect_meta_analysis_20260613.json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菌株筛选主表：strain_screening_catalog_functional_20260613.csv；79 候选 shortlist；105 安全可入池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组合：mechanism_complementary_hypotheses_20260613.csv（201 设计假设）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文档：strain_screening_report、research_plan_next、session_summary（均 _20260613.md）</w:t>
      </w:r>
    </w:p>
    <w:p>
      <w:pPr>
        <w:spacing w:before="3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ProSlim-Microbiome-AI 可交付报告 v1.0  ·  </w:t>
    </w:r>
    <w:r>
      <w:rPr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2026-06-14T10:14:18.630Z</dcterms:created>
  <dcterms:modified xsi:type="dcterms:W3CDTF">2026-06-14T10:14:18.631Z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