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 w:before="1000"/>
        <w:jc w:val="center"/>
      </w:pPr>
      <w:r>
        <w:rPr>
          <w:rFonts w:ascii="SimHei" w:cs="SimHei" w:eastAsia="SimHei" w:hAnsi="SimHei"/>
          <w:b/>
          <w:bCs/>
          <w:sz w:val="38"/>
          <w:szCs w:val="38"/>
        </w:rPr>
        <w:t xml:space="preserve">食源性益生菌减脂潜力的预测方法与菌株排序</w:t>
      </w:r>
    </w:p>
    <w:p>
      <w:pPr>
        <w:spacing w:after="200"/>
        <w:jc w:val="center"/>
      </w:pPr>
      <w:r>
        <w:rPr>
          <w:rFonts w:ascii="SimHei" w:cs="SimHei" w:eastAsia="SimHei" w:hAnsi="SimHei"/>
          <w:b/>
          <w:bCs/>
          <w:sz w:val="24"/>
          <w:szCs w:val="24"/>
        </w:rPr>
        <w:t xml:space="preserve">一套不依赖肠道队列丰度的菌株性质评分体系</w:t>
      </w:r>
    </w:p>
    <w:p>
      <w:pPr>
        <w:spacing w:after="60" w:before="300"/>
        <w:jc w:val="center"/>
      </w:pPr>
      <w:r>
        <w:rPr>
          <w:rFonts w:ascii="SimSun" w:cs="SimSun" w:eastAsia="SimSun" w:hAnsi="SimSun"/>
          <w:sz w:val="22"/>
          <w:szCs w:val="22"/>
        </w:rPr>
        <w:t xml:space="preserve">ProSlim-Microbiome-AI 项目组</w:t>
      </w:r>
    </w:p>
    <w:p>
      <w:pPr>
        <w:spacing w:after="1000"/>
        <w:jc w:val="center"/>
      </w:pPr>
      <w:r>
        <w:rPr>
          <w:rFonts w:ascii="SimSun" w:cs="SimSun" w:eastAsia="SimSun" w:hAnsi="SimSun"/>
          <w:sz w:val="20"/>
          <w:szCs w:val="20"/>
        </w:rPr>
        <w:t xml:space="preserve">2026 年 6 月 25 日</w:t>
      </w:r>
    </w:p>
    <w:p>
      <w:r>
        <w:br w:type="page"/>
      </w:r>
    </w:p>
    <w:p>
      <w:pPr>
        <w:spacing w:after="100"/>
      </w:pPr>
      <w:r>
        <w:rPr>
          <w:rFonts w:ascii="SimHei" w:cs="SimHei" w:eastAsia="SimHei" w:hAnsi="SimHei"/>
          <w:b/>
          <w:bCs/>
          <w:sz w:val="26"/>
          <w:szCs w:val="26"/>
        </w:rPr>
        <w:t xml:space="preserve">摘要</w:t>
      </w:r>
    </w:p>
    <w:p>
      <w:pPr>
        <w:spacing w:after="100" w:line="340"/>
        <w:jc w:val="both"/>
      </w:pPr>
      <w:r>
        <w:rPr>
          <w:rFonts w:ascii="SimSun" w:cs="SimSun" w:eastAsia="SimSun" w:hAnsi="SimSun"/>
          <w:b/>
          <w:bCs/>
          <w:sz w:val="21"/>
          <w:szCs w:val="21"/>
        </w:rPr>
        <w:t xml:space="preserve">背景与问题：</w:t>
      </w:r>
      <w:r>
        <w:rPr>
          <w:rFonts w:ascii="SimSun" w:cs="SimSun" w:eastAsia="SimSun" w:hAnsi="SimSun"/>
          <w:sz w:val="21"/>
          <w:szCs w:val="21"/>
        </w:rPr>
        <w:t xml:space="preserve">食源性益生菌是唯一可直接用于食品与膳食补充剂的菌株类别，但对其减脂潜力的排序长期依赖零散的临床报道或机制推测。基于人群队列差异丰度的评价体系无法适用于这一类别，原因有两点：其一，多数乳杆菌类为肠道过路菌而非常驻菌，在公开宏基因组队列中流行率低于检出阈值；其二，全部食源菌在区分瘦人相关菌群的关键功能轴（丁酸、丙酸、黏液相互作用）上取值完全相同，该类指标无法产生排序区分度。</w:t>
      </w:r>
    </w:p>
    <w:p>
      <w:pPr>
        <w:spacing w:after="100" w:line="340"/>
        <w:jc w:val="both"/>
      </w:pPr>
      <w:r>
        <w:rPr>
          <w:rFonts w:ascii="SimSun" w:cs="SimSun" w:eastAsia="SimSun" w:hAnsi="SimSun"/>
          <w:b/>
          <w:bCs/>
          <w:sz w:val="21"/>
          <w:szCs w:val="21"/>
        </w:rPr>
        <w:t xml:space="preserve">方法：</w:t>
      </w:r>
      <w:r>
        <w:rPr>
          <w:rFonts w:ascii="SimSun" w:cs="SimSun" w:eastAsia="SimSun" w:hAnsi="SimSun"/>
          <w:sz w:val="21"/>
          <w:szCs w:val="21"/>
        </w:rPr>
        <w:t xml:space="preserve">本研究建立一套仅使用菌株固有性质的评分体系（v3）。六个维度及权重为：交叉喂养供能 0.22、胆盐水解酶（BSH）介导的胆汁酸调节 0.15、安全等级 0.22、临床证据 0.15、工业可行性 0.14，以及肥胖特征惩罚 −0.12。各维度的判据分别来自本项目前期在西欧健康人群队列中获得的验证结果（协作型生态、口腔来源菌的肥胖富集、糖降解通路的肥胖富集）与自下而上菌株目录（EFSA QPS 安全分层、人体试验先例、可培养性）。队列证据按设计不进入评分，仅作为独立旗标报告，并在同分内用于排序。</w:t>
      </w:r>
    </w:p>
    <w:p>
      <w:pPr>
        <w:spacing w:after="100" w:line="340"/>
        <w:jc w:val="both"/>
      </w:pPr>
      <w:r>
        <w:rPr>
          <w:rFonts w:ascii="SimSun" w:cs="SimSun" w:eastAsia="SimSun" w:hAnsi="SimSun"/>
          <w:b/>
          <w:bCs/>
          <w:sz w:val="21"/>
          <w:szCs w:val="21"/>
        </w:rPr>
        <w:t xml:space="preserve">结果：</w:t>
      </w:r>
      <w:r>
        <w:rPr>
          <w:rFonts w:ascii="SimSun" w:cs="SimSun" w:eastAsia="SimSun" w:hAnsi="SimSun"/>
          <w:sz w:val="21"/>
          <w:szCs w:val="21"/>
        </w:rPr>
        <w:t xml:space="preserve">对 38 株食源益生菌完成排序，形成 10 个分数档。副干酪乳酪杆菌与植物乳植杆菌性质分最高（0.866），但二者在队列中完全无数据。真正兼具"性质优、临床先例、队列支持"三重条件的仅动物双歧杆菌与长双歧杆菌（性质分 0.749；西欧队列显著瘦人富集，倍数变化分别为 0.62 与 0.65），其评分劣势全部来自工业可行性与 BSH 强度而非证据强度。链状双歧杆菌拥有全部食源菌中最强的队列信号（中东倍数变化 0.48）但缺临床先例。四株常用商业双歧杆菌（短、青春、两歧、假链状）在北美队列显著肥胖富集（倍数变化 3.15–7.39），列为慎用；链球菌属 11 株因属内含病原种而不予推荐。</w:t>
      </w:r>
    </w:p>
    <w:p>
      <w:pPr>
        <w:spacing w:after="100" w:line="340"/>
        <w:jc w:val="both"/>
      </w:pPr>
      <w:r>
        <w:rPr>
          <w:rFonts w:ascii="SimSun" w:cs="SimSun" w:eastAsia="SimSun" w:hAnsi="SimSun"/>
          <w:b/>
          <w:bCs/>
          <w:sz w:val="21"/>
          <w:szCs w:val="21"/>
        </w:rPr>
        <w:t xml:space="preserve">结论：</w:t>
      </w:r>
      <w:r>
        <w:rPr>
          <w:rFonts w:ascii="SimSun" w:cs="SimSun" w:eastAsia="SimSun" w:hAnsi="SimSun"/>
          <w:sz w:val="21"/>
          <w:szCs w:val="21"/>
        </w:rPr>
        <w:t xml:space="preserve">以减脂效果预测为目标时，应以动物双歧杆菌与长双歧杆菌为首选，而非性质分最高的乳杆菌类。本方法的主要局限在于属级注释造成大规模并列（最大并列 11 株），且两个权重较大的维度属机制与工程先验、未经减脂结局验证；真正的菌株级排序需补充实际酶活、产酸量与耐受性等表型数据。</w:t>
      </w:r>
    </w:p>
    <w:p>
      <w:pPr>
        <w:spacing w:after="200" w:before="110"/>
      </w:pPr>
      <w:r>
        <w:rPr>
          <w:rFonts w:ascii="SimHei" w:cs="SimHei" w:eastAsia="SimHei" w:hAnsi="SimHei"/>
          <w:b/>
          <w:bCs/>
          <w:sz w:val="20"/>
          <w:szCs w:val="20"/>
        </w:rPr>
        <w:t xml:space="preserve">关键词：</w:t>
      </w:r>
      <w:r>
        <w:rPr>
          <w:rFonts w:ascii="SimSun" w:cs="SimSun" w:eastAsia="SimSun" w:hAnsi="SimSun"/>
          <w:sz w:val="20"/>
          <w:szCs w:val="20"/>
        </w:rPr>
        <w:t xml:space="preserve">食源性益生菌；减脂；菌株筛选；交叉喂养；胆盐水解酶；EFSA QPS；预测排序</w:t>
      </w:r>
    </w:p>
    <w:p>
      <w:r>
        <w:br w:type="page"/>
      </w:r>
    </w:p>
    <w:p>
      <w:pPr>
        <w:pStyle w:val="Heading1"/>
        <w:spacing w:after="140" w:before="300"/>
      </w:pPr>
      <w:r>
        <w:rPr>
          <w:rFonts w:ascii="SimHei" w:cs="SimHei" w:eastAsia="SimHei" w:hAnsi="SimHei"/>
          <w:b/>
          <w:bCs/>
          <w:sz w:val="28"/>
          <w:szCs w:val="28"/>
        </w:rPr>
        <w:t xml:space="preserve">1　引言</w:t>
      </w:r>
    </w:p>
    <w:p>
      <w:pPr>
        <w:spacing w:after="100" w:line="340"/>
        <w:ind w:firstLine="440"/>
        <w:jc w:val="both"/>
      </w:pPr>
      <w:r>
        <w:rPr>
          <w:rFonts w:ascii="SimSun" w:cs="SimSun" w:eastAsia="SimSun" w:hAnsi="SimSun"/>
          <w:sz w:val="21"/>
          <w:szCs w:val="21"/>
        </w:rPr>
        <w:t xml:space="preserve">益生菌辅助减脂是近年功能食品领域的重要方向，市售产品多以乳杆菌属与双歧杆菌属为主。然而，产品配方的菌株选择往往依据单一临床报道、供应链可得性或既有工艺经验，缺乏统一、可追溯的排序依据。</w:t>
      </w:r>
    </w:p>
    <w:p>
      <w:pPr>
        <w:spacing w:after="100" w:line="340"/>
        <w:ind w:firstLine="440"/>
        <w:jc w:val="both"/>
      </w:pPr>
      <w:r>
        <w:rPr>
          <w:rFonts w:ascii="SimSun" w:cs="SimSun" w:eastAsia="SimSun" w:hAnsi="SimSun"/>
          <w:sz w:val="21"/>
          <w:szCs w:val="21"/>
        </w:rPr>
        <w:t xml:space="preserve">与此同时，基于公开肠道宏基因组队列的菌群分析已能较可靠地识别与瘦体型相关的常驻菌。一个自然的想法是把该分析结果直接用于食源菌筛选，但这条路径存在结构性障碍：</w:t>
      </w:r>
      <w:r>
        <w:rPr>
          <w:rFonts w:ascii="SimSun" w:cs="SimSun" w:eastAsia="SimSun" w:hAnsi="SimSun"/>
          <w:b/>
          <w:bCs/>
          <w:sz w:val="21"/>
          <w:szCs w:val="21"/>
        </w:rPr>
        <w:t xml:space="preserve">食源性益生菌在很大程度上并非肠道常驻菌</w:t>
      </w:r>
      <w:r>
        <w:rPr>
          <w:rFonts w:ascii="SimSun" w:cs="SimSun" w:eastAsia="SimSun" w:hAnsi="SimSun"/>
          <w:sz w:val="21"/>
          <w:szCs w:val="21"/>
        </w:rPr>
        <w:t xml:space="preserve">。这决定了必须为食源菌单独建立评价体系，而不是套用常驻菌的方法。本文报告该体系的设计、依据与全部 38 株食源菌的排序结果。</w:t>
      </w:r>
    </w:p>
    <w:p>
      <w:pPr>
        <w:pStyle w:val="Heading1"/>
        <w:spacing w:after="140" w:before="300"/>
      </w:pPr>
      <w:r>
        <w:rPr>
          <w:rFonts w:ascii="SimHei" w:cs="SimHei" w:eastAsia="SimHei" w:hAnsi="SimHei"/>
          <w:b/>
          <w:bCs/>
          <w:sz w:val="28"/>
          <w:szCs w:val="28"/>
        </w:rPr>
        <w:t xml:space="preserve">2　材料与方法</w:t>
      </w:r>
    </w:p>
    <w:p>
      <w:pPr>
        <w:pStyle w:val="Heading2"/>
        <w:spacing w:after="100" w:before="190"/>
      </w:pPr>
      <w:r>
        <w:rPr>
          <w:rFonts w:ascii="SimHei" w:cs="SimHei" w:eastAsia="SimHei" w:hAnsi="SimHei"/>
          <w:b/>
          <w:bCs/>
          <w:sz w:val="23"/>
          <w:szCs w:val="23"/>
        </w:rPr>
        <w:t xml:space="preserve">2.1　菌株来源</w:t>
      </w:r>
    </w:p>
    <w:p>
      <w:pPr>
        <w:spacing w:after="100" w:line="340"/>
        <w:ind w:firstLine="440"/>
        <w:jc w:val="both"/>
      </w:pPr>
      <w:r>
        <w:rPr>
          <w:rFonts w:ascii="SimSun" w:cs="SimSun" w:eastAsia="SimSun" w:hAnsi="SimSun"/>
          <w:sz w:val="21"/>
          <w:szCs w:val="21"/>
        </w:rPr>
        <w:t xml:space="preserve">菌株来自本项目构建的筛选目录中标注为食品级益生菌（food_grade_probiotic）的全部条目，共 38 株，覆盖乳杆菌属及其重分类属（Lactobacillus、Lacticaseibacillus、Lactiplantibacillus、Limosilactobacillus）、双歧杆菌属、乳球菌属、片球菌属、芽孢杆菌属、酵母属与链球菌属。每株附带 EFSA QPS 安全分层、人体试验先例标注与属级代谢功能注释。</w:t>
      </w:r>
    </w:p>
    <w:p>
      <w:pPr>
        <w:pStyle w:val="Heading2"/>
        <w:spacing w:after="100" w:before="190"/>
      </w:pPr>
      <w:r>
        <w:rPr>
          <w:rFonts w:ascii="SimHei" w:cs="SimHei" w:eastAsia="SimHei" w:hAnsi="SimHei"/>
          <w:b/>
          <w:bCs/>
          <w:sz w:val="23"/>
          <w:szCs w:val="23"/>
        </w:rPr>
        <w:t xml:space="preserve">2.2　为何不能沿用队列差异丰度方法</w:t>
      </w:r>
    </w:p>
    <w:p>
      <w:pPr>
        <w:spacing w:after="100" w:line="340"/>
        <w:ind w:firstLine="440"/>
        <w:jc w:val="both"/>
      </w:pPr>
      <w:r>
        <w:rPr>
          <w:rFonts w:ascii="SimSun" w:cs="SimSun" w:eastAsia="SimSun" w:hAnsi="SimSun"/>
          <w:sz w:val="21"/>
          <w:szCs w:val="21"/>
        </w:rPr>
        <w:t xml:space="preserve">本项目针对肠道常驻菌的评价体系以人群队列的胖瘦差异丰度为核心依据。将其应用于食源菌时遇到两条硬约束（表 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70"/>
      </w:tblGrid>
      <w:tr>
        <w:trPr>
          <w:tblHeader/>
        </w:trPr>
        <w:tc>
          <w:tcPr>
            <w:tcW w:type="dxa" w:w="190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left"/>
            </w:pPr>
            <w:r>
              <w:rPr>
                <w:rFonts w:ascii="SimSun" w:cs="SimSun" w:eastAsia="SimSun" w:hAnsi="SimSun"/>
                <w:b/>
                <w:bCs/>
                <w:sz w:val="15"/>
                <w:szCs w:val="15"/>
              </w:rPr>
              <w:t xml:space="preserve">约束</w:t>
            </w:r>
          </w:p>
        </w:tc>
        <w:tc>
          <w:tcPr>
            <w:tcW w:type="dxa" w:w="460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具体事实</w:t>
            </w:r>
          </w:p>
        </w:tc>
        <w:tc>
          <w:tcPr>
            <w:tcW w:type="dxa" w:w="257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后果</w:t>
            </w:r>
          </w:p>
        </w:tc>
      </w:tr>
      <w:tr>
        <w:trPr>
          <w:tblHeader w:val="false"/>
        </w:trPr>
        <w:tc>
          <w:tcPr>
            <w:tcW w:type="dxa" w:w="1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多数食源菌不在肠道队列中</w:t>
            </w:r>
          </w:p>
        </w:tc>
        <w:tc>
          <w:tcPr>
            <w:tcW w:type="dxa" w:w="46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38 株中 15 株在西欧队列的流行率低于 10% 检出阈值，未进入统计；乳杆菌类为过路菌而非常驻菌</w:t>
            </w:r>
          </w:p>
        </w:tc>
        <w:tc>
          <w:tcPr>
            <w:tcW w:type="dxa" w:w="25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无差异丰度数据可用，非数据缺陷而是生物学事实</w:t>
            </w:r>
          </w:p>
        </w:tc>
      </w:tr>
      <w:tr>
        <w:trPr>
          <w:tblHeader w:val="false"/>
        </w:trPr>
        <w:tc>
          <w:tcPr>
            <w:tcW w:type="dxa" w:w="1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食源菌在关键判别轴上完全同质</w:t>
            </w:r>
          </w:p>
        </w:tc>
        <w:tc>
          <w:tcPr>
            <w:tcW w:type="dxa" w:w="46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全部 38 株的丁酸潜能、丙酸潜能与黏液相互作用均为 0，皆为乳酸-乙酸产生菌</w:t>
            </w:r>
          </w:p>
        </w:tc>
        <w:tc>
          <w:tcPr>
            <w:tcW w:type="dxa" w:w="25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前期最有效的指标（丙酸潜能、群落多样性关联）无法产生排序区分度</w:t>
            </w:r>
          </w:p>
        </w:tc>
      </w:tr>
    </w:tbl>
    <w:p>
      <w:pPr>
        <w:spacing w:after="170" w:before="60"/>
        <w:jc w:val="center"/>
      </w:pPr>
      <w:r>
        <w:rPr>
          <w:rFonts w:ascii="SimHei" w:cs="SimHei" w:eastAsia="SimHei" w:hAnsi="SimHei"/>
          <w:b/>
          <w:bCs/>
          <w:sz w:val="16"/>
          <w:szCs w:val="16"/>
        </w:rPr>
        <w:t xml:space="preserve">表 1　队列方法不适用于食源菌的两条硬约束</w:t>
      </w:r>
    </w:p>
    <w:p>
      <w:pPr>
        <w:pStyle w:val="Heading2"/>
        <w:spacing w:after="100" w:before="190"/>
      </w:pPr>
      <w:r>
        <w:rPr>
          <w:rFonts w:ascii="SimHei" w:cs="SimHei" w:eastAsia="SimHei" w:hAnsi="SimHei"/>
          <w:b/>
          <w:bCs/>
          <w:sz w:val="23"/>
          <w:szCs w:val="23"/>
        </w:rPr>
        <w:t xml:space="preserve">2.3　v3 评分体系</w:t>
      </w:r>
    </w:p>
    <w:p>
      <w:pPr>
        <w:spacing w:after="100" w:line="340"/>
        <w:ind w:firstLine="440"/>
        <w:jc w:val="both"/>
      </w:pPr>
      <w:r>
        <w:rPr>
          <w:rFonts w:ascii="SimSun" w:cs="SimSun" w:eastAsia="SimSun" w:hAnsi="SimSun"/>
          <w:sz w:val="21"/>
          <w:szCs w:val="21"/>
        </w:rPr>
        <w:t xml:space="preserve">评分公式为六个维度的加权和，各维度取值归一化至 0–1 区间：</w:t>
      </w:r>
    </w:p>
    <w:p>
      <w:pPr>
        <w:spacing w:after="60" w:before="60"/>
        <w:jc w:val="center"/>
      </w:pPr>
      <w:r>
        <w:rPr>
          <w:rFonts w:ascii="SimSun" w:cs="SimSun" w:eastAsia="SimSun" w:hAnsi="SimSun"/>
          <w:i/>
          <w:iCs/>
          <w:sz w:val="20"/>
          <w:szCs w:val="20"/>
        </w:rPr>
        <w:t xml:space="preserve">v3 = 0.22×交叉喂养 + 0.15×BSH + 0.22×安全 + 0.15×临床 + 0.14×工业 − 0.12×肥胖特征</w:t>
      </w:r>
    </w:p>
    <w:p>
      <w:pPr>
        <w:spacing w:after="100" w:line="340"/>
        <w:ind w:firstLine="440"/>
        <w:jc w:val="both"/>
      </w:pPr>
      <w:r>
        <w:rPr>
          <w:rFonts w:ascii="SimSun" w:cs="SimSun" w:eastAsia="SimSun" w:hAnsi="SimSun"/>
          <w:sz w:val="21"/>
          <w:szCs w:val="21"/>
        </w:rPr>
        <w:t xml:space="preserve">各维度的判据来源与证据强度列于表 2。设计上刻意区分两类信息：</w:t>
      </w:r>
      <w:r>
        <w:rPr>
          <w:rFonts w:ascii="SimSun" w:cs="SimSun" w:eastAsia="SimSun" w:hAnsi="SimSun"/>
          <w:b/>
          <w:bCs/>
          <w:sz w:val="21"/>
          <w:szCs w:val="21"/>
        </w:rPr>
        <w:t xml:space="preserve">具有队列验证支撑的判据</w:t>
      </w:r>
      <w:r>
        <w:rPr>
          <w:rFonts w:ascii="SimSun" w:cs="SimSun" w:eastAsia="SimSun" w:hAnsi="SimSun"/>
          <w:sz w:val="21"/>
          <w:szCs w:val="21"/>
        </w:rPr>
        <w:t xml:space="preserve">（肥胖特征惩罚）与</w:t>
      </w:r>
      <w:r>
        <w:rPr>
          <w:rFonts w:ascii="SimSun" w:cs="SimSun" w:eastAsia="SimSun" w:hAnsi="SimSun"/>
          <w:b/>
          <w:bCs/>
          <w:sz w:val="21"/>
          <w:szCs w:val="21"/>
        </w:rPr>
        <w:t xml:space="preserve">属于机制或工程先验的判据</w:t>
      </w:r>
      <w:r>
        <w:rPr>
          <w:rFonts w:ascii="SimSun" w:cs="SimSun" w:eastAsia="SimSun" w:hAnsi="SimSun"/>
          <w:sz w:val="21"/>
          <w:szCs w:val="21"/>
        </w:rPr>
        <w:t xml:space="preserve">（交叉喂养、工业可行性），后者在结论中被明确标注为未经减脂结局验证。</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5100"/>
        <w:gridCol w:w="1770"/>
      </w:tblGrid>
      <w:tr>
        <w:trPr>
          <w:tblHeader/>
        </w:trPr>
        <w:tc>
          <w:tcPr>
            <w:tcW w:type="dxa" w:w="150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left"/>
            </w:pPr>
            <w:r>
              <w:rPr>
                <w:rFonts w:ascii="SimSun" w:cs="SimSun" w:eastAsia="SimSun" w:hAnsi="SimSun"/>
                <w:b/>
                <w:bCs/>
                <w:sz w:val="15"/>
                <w:szCs w:val="15"/>
              </w:rPr>
              <w:t xml:space="preserve">维度</w:t>
            </w:r>
          </w:p>
        </w:tc>
        <w:tc>
          <w:tcPr>
            <w:tcW w:type="dxa" w:w="70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权重</w:t>
            </w:r>
          </w:p>
        </w:tc>
        <w:tc>
          <w:tcPr>
            <w:tcW w:type="dxa" w:w="510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判据来源</w:t>
            </w:r>
          </w:p>
        </w:tc>
        <w:tc>
          <w:tcPr>
            <w:tcW w:type="dxa" w:w="177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证据强度</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交叉喂养供能</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0.22</w:t>
            </w:r>
          </w:p>
        </w:tc>
        <w:tc>
          <w:tcPr>
            <w:tcW w:type="dxa" w:w="51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前期发现瘦人菌群呈协作型生态（与群落多样性关联的判别 AUC 0.920，跨属泛化 0.878）。食源菌产乳酸与乙酸，可作为常驻丁酸/丙酸产生菌的底物，间接支持该生态</w:t>
            </w:r>
          </w:p>
        </w:tc>
        <w:tc>
          <w:tcPr>
            <w:tcW w:type="dxa" w:w="17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机制假设，未验证</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BSH 胆汁酸调节</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0.15</w:t>
            </w:r>
          </w:p>
        </w:tc>
        <w:tc>
          <w:tcPr>
            <w:tcW w:type="dxa" w:w="51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BSH 已被本项目证明不能预测常驻菌的瘦人富集（AUC 0.517，P=0.85；跨属 0.027），但对外源补充乳杆菌的降胆固醇作用有既有文献支持，此为其唯一合理适用范式</w:t>
            </w:r>
          </w:p>
        </w:tc>
        <w:tc>
          <w:tcPr>
            <w:tcW w:type="dxa" w:w="17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文献支持；本项目血脂数据不足以自证</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安全等级</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0.22</w:t>
            </w:r>
          </w:p>
        </w:tc>
        <w:tc>
          <w:tcPr>
            <w:tcW w:type="dxa" w:w="51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EFSA QPS/GRAS 低门槛记 1.0；需菌株级安全审查记 0.25</w:t>
            </w:r>
          </w:p>
        </w:tc>
        <w:tc>
          <w:tcPr>
            <w:tcW w:type="dxa" w:w="17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监管框架，明确</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临床证据</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0.15</w:t>
            </w:r>
          </w:p>
        </w:tc>
        <w:tc>
          <w:tcPr>
            <w:tcW w:type="dxa" w:w="51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目录标注的人体试验先例记 1.0；仅筛选级记 0.35</w:t>
            </w:r>
          </w:p>
        </w:tc>
        <w:tc>
          <w:tcPr>
            <w:tcW w:type="dxa" w:w="17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目录标注，明确</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工业可行性</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0.14</w:t>
            </w:r>
          </w:p>
        </w:tc>
        <w:tc>
          <w:tcPr>
            <w:tcW w:type="dxa" w:w="51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发酵与稳定性先验：芽孢杆菌 1.00、酵母 0.95、乳杆菌类 0.85–0.90、链球菌 0.75、双歧杆菌 0.60（需厌氧、难稳定）</w:t>
            </w:r>
          </w:p>
        </w:tc>
        <w:tc>
          <w:tcPr>
            <w:tcW w:type="dxa" w:w="17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工程先验，非减脂证据</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肥胖特征惩罚</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−0.12</w:t>
            </w:r>
          </w:p>
        </w:tc>
        <w:tc>
          <w:tcPr>
            <w:tcW w:type="dxa" w:w="51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口腔来源属权重 0.6（前期在西欧验证口腔链球菌属肥胖富集）；糖降解主导型权重 0.4（前期通路分析显示半乳糖、水苏糖、肌醇降解在肥胖者增强）</w:t>
            </w:r>
          </w:p>
        </w:tc>
        <w:tc>
          <w:tcPr>
            <w:tcW w:type="dxa" w:w="17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有队列验证支撑</w:t>
            </w:r>
          </w:p>
        </w:tc>
      </w:tr>
    </w:tbl>
    <w:p>
      <w:pPr>
        <w:spacing w:after="170" w:before="60"/>
        <w:jc w:val="center"/>
      </w:pPr>
      <w:r>
        <w:rPr>
          <w:rFonts w:ascii="SimHei" w:cs="SimHei" w:eastAsia="SimHei" w:hAnsi="SimHei"/>
          <w:b/>
          <w:bCs/>
          <w:sz w:val="16"/>
          <w:szCs w:val="16"/>
        </w:rPr>
        <w:t xml:space="preserve">表 2　六个维度的权重、判据来源与证据强度</w:t>
      </w:r>
    </w:p>
    <w:p>
      <w:pPr>
        <w:pStyle w:val="Heading2"/>
        <w:spacing w:after="100" w:before="190"/>
      </w:pPr>
      <w:r>
        <w:rPr>
          <w:rFonts w:ascii="SimHei" w:cs="SimHei" w:eastAsia="SimHei" w:hAnsi="SimHei"/>
          <w:b/>
          <w:bCs/>
          <w:sz w:val="23"/>
          <w:szCs w:val="23"/>
        </w:rPr>
        <w:t xml:space="preserve">2.4　队列证据的处理与两级排序</w:t>
      </w:r>
    </w:p>
    <w:p>
      <w:pPr>
        <w:spacing w:after="100" w:line="340"/>
        <w:ind w:firstLine="440"/>
        <w:jc w:val="both"/>
      </w:pPr>
      <w:r>
        <w:rPr>
          <w:rFonts w:ascii="SimSun" w:cs="SimSun" w:eastAsia="SimSun" w:hAnsi="SimSun"/>
          <w:sz w:val="21"/>
          <w:szCs w:val="21"/>
        </w:rPr>
        <w:t xml:space="preserve">按设计要求，队列差异丰度</w:t>
      </w:r>
      <w:r>
        <w:rPr>
          <w:rFonts w:ascii="SimSun" w:cs="SimSun" w:eastAsia="SimSun" w:hAnsi="SimSun"/>
          <w:b/>
          <w:bCs/>
          <w:sz w:val="21"/>
          <w:szCs w:val="21"/>
        </w:rPr>
        <w:t xml:space="preserve">不进入评分</w:t>
      </w:r>
      <w:r>
        <w:rPr>
          <w:rFonts w:ascii="SimSun" w:cs="SimSun" w:eastAsia="SimSun" w:hAnsi="SimSun"/>
          <w:sz w:val="21"/>
          <w:szCs w:val="21"/>
        </w:rPr>
        <w:t xml:space="preserve">。但完全忽略「某菌在人群队列中显著肥胖富集」这一事实并不稳妥，故将其作为</w:t>
      </w:r>
      <w:r>
        <w:rPr>
          <w:rFonts w:ascii="SimSun" w:cs="SimSun" w:eastAsia="SimSun" w:hAnsi="SimSun"/>
          <w:b/>
          <w:bCs/>
          <w:sz w:val="21"/>
          <w:szCs w:val="21"/>
        </w:rPr>
        <w:t xml:space="preserve">独立旗标</w:t>
      </w:r>
      <w:r>
        <w:rPr>
          <w:rFonts w:ascii="SimSun" w:cs="SimSun" w:eastAsia="SimSun" w:hAnsi="SimSun"/>
          <w:sz w:val="21"/>
          <w:szCs w:val="21"/>
        </w:rPr>
        <w:t xml:space="preserve">报告，取值为：队列支持（瘦人富集）、队列受检但不显著、队列无数据（不可得）、队列反证（肥胖富集）。</w:t>
      </w:r>
    </w:p>
    <w:p>
      <w:pPr>
        <w:spacing w:after="100" w:line="340"/>
        <w:ind w:firstLine="440"/>
        <w:jc w:val="both"/>
      </w:pPr>
      <w:r>
        <w:rPr>
          <w:rFonts w:ascii="SimSun" w:cs="SimSun" w:eastAsia="SimSun" w:hAnsi="SimSun"/>
          <w:sz w:val="21"/>
          <w:szCs w:val="21"/>
        </w:rPr>
        <w:t xml:space="preserve">排序采用两级规则：</w:t>
      </w:r>
      <w:r>
        <w:rPr>
          <w:rFonts w:ascii="SimSun" w:cs="SimSun" w:eastAsia="SimSun" w:hAnsi="SimSun"/>
          <w:b/>
          <w:bCs/>
          <w:sz w:val="21"/>
          <w:szCs w:val="21"/>
        </w:rPr>
        <w:t xml:space="preserve">第一级</w:t>
      </w:r>
      <w:r>
        <w:rPr>
          <w:rFonts w:ascii="SimSun" w:cs="SimSun" w:eastAsia="SimSun" w:hAnsi="SimSun"/>
          <w:sz w:val="21"/>
          <w:szCs w:val="21"/>
        </w:rPr>
        <w:t xml:space="preserve">以 v3 性质分决定所属分数档；</w:t>
      </w:r>
      <w:r>
        <w:rPr>
          <w:rFonts w:ascii="SimSun" w:cs="SimSun" w:eastAsia="SimSun" w:hAnsi="SimSun"/>
          <w:b/>
          <w:bCs/>
          <w:sz w:val="21"/>
          <w:szCs w:val="21"/>
        </w:rPr>
        <w:t xml:space="preserve">第二级</w:t>
      </w:r>
      <w:r>
        <w:rPr>
          <w:rFonts w:ascii="SimSun" w:cs="SimSun" w:eastAsia="SimSun" w:hAnsi="SimSun"/>
          <w:sz w:val="21"/>
          <w:szCs w:val="21"/>
        </w:rPr>
        <w:t xml:space="preserve">仅在同分内以队列证据层级排序（支持 &gt; 不显著／无数据 &gt; 反证），不跨档移动菌株。第二级为必要设计——属级注释使整组菌完全同分（9 株乳杆菌均为 0.7615，11 株链球菌均为 0.3125），若无第二级，排序将退化为大规模并列。该规则以独立列透明呈现，性质分本身仍可单独审阅。</w:t>
      </w:r>
    </w:p>
    <w:p>
      <w:pPr>
        <w:pStyle w:val="Heading2"/>
        <w:spacing w:after="100" w:before="190"/>
      </w:pPr>
      <w:r>
        <w:rPr>
          <w:rFonts w:ascii="SimHei" w:cs="SimHei" w:eastAsia="SimHei" w:hAnsi="SimHei"/>
          <w:b/>
          <w:bCs/>
          <w:sz w:val="23"/>
          <w:szCs w:val="23"/>
        </w:rPr>
        <w:t xml:space="preserve">2.5　组合评分</w:t>
      </w:r>
    </w:p>
    <w:p>
      <w:pPr>
        <w:spacing w:after="100" w:line="340"/>
        <w:ind w:firstLine="440"/>
        <w:jc w:val="both"/>
      </w:pPr>
      <w:r>
        <w:rPr>
          <w:rFonts w:ascii="SimSun" w:cs="SimSun" w:eastAsia="SimSun" w:hAnsi="SimSun"/>
          <w:sz w:val="21"/>
          <w:szCs w:val="21"/>
        </w:rPr>
        <w:t xml:space="preserve">在单菌评分基础上，对 2–4 株的全部组合穷举打分：综合分 = 0.72×成员平均 v3 分 + 0.18×性质互补度 + 0.10×属多样性。互补度奖励同时包含强 BSH 成员与强交叉喂养成员、且跨越两个以上属的组合。需菌株级安全审查者与存在队列反证者不进入组合池。</w:t>
      </w:r>
    </w:p>
    <w:p>
      <w:pPr>
        <w:pStyle w:val="Heading1"/>
        <w:spacing w:after="140" w:before="300"/>
      </w:pPr>
      <w:r>
        <w:rPr>
          <w:rFonts w:ascii="SimHei" w:cs="SimHei" w:eastAsia="SimHei" w:hAnsi="SimHei"/>
          <w:b/>
          <w:bCs/>
          <w:sz w:val="28"/>
          <w:szCs w:val="28"/>
        </w:rPr>
        <w:t xml:space="preserve">3　结果</w:t>
      </w:r>
    </w:p>
    <w:p>
      <w:pPr>
        <w:pStyle w:val="Heading2"/>
        <w:spacing w:after="100" w:before="190"/>
      </w:pPr>
      <w:r>
        <w:rPr>
          <w:rFonts w:ascii="SimHei" w:cs="SimHei" w:eastAsia="SimHei" w:hAnsi="SimHei"/>
          <w:b/>
          <w:bCs/>
          <w:sz w:val="23"/>
          <w:szCs w:val="23"/>
        </w:rPr>
        <w:t xml:space="preserve">3.1　单菌排序总览</w:t>
      </w:r>
    </w:p>
    <w:p>
      <w:pPr>
        <w:spacing w:after="100" w:line="340"/>
        <w:ind w:firstLine="440"/>
        <w:jc w:val="both"/>
      </w:pPr>
      <w:r>
        <w:rPr>
          <w:rFonts w:ascii="SimSun" w:cs="SimSun" w:eastAsia="SimSun" w:hAnsi="SimSun"/>
          <w:sz w:val="21"/>
          <w:szCs w:val="21"/>
        </w:rPr>
        <w:t xml:space="preserve">38 株形成 10 个分数档，最大并列组 11 株（图 1A、1B）。推荐意见分布为：首选 2 株、推荐 2 株、值得关注 1 株、备选 11 株、低优先 7 株、慎用 4 株、不推荐 11 株。</w:t>
      </w:r>
    </w:p>
    <w:p>
      <w:pPr>
        <w:spacing w:after="45" w:before="140"/>
        <w:jc w:val="center"/>
      </w:pPr>
      <w:r>
        <w:drawing>
          <wp:inline distT="0" distB="0" distL="0" distR="0">
            <wp:extent cx="5619750" cy="4543425"/>
            <wp:effectExtent t="0" r="0" b="0" l="0"/>
            <wp:docPr id="1" name="fig27_foodgrade_ranking.png" descr="图 1　38 株食源益生菌减脂潜力单菌排序：(A) 全部菌株按 v3 性质分排序，颜色表示推荐意见，标注表示队列证据方向；(B) 分档结构与关键结论" title="图 1　38 株食源益生菌减脂潜力单菌排序：(A) 全部菌株按 v3 性质分排序，颜色表示推荐意见，标注表示队列证据方向；(B) 分档结构与关键结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4543425"/>
                    </a:xfrm>
                    <a:prstGeom prst="rect">
                      <a:avLst/>
                    </a:prstGeom>
                  </pic:spPr>
                </pic:pic>
              </a:graphicData>
            </a:graphic>
          </wp:inline>
        </w:drawing>
      </w:r>
    </w:p>
    <w:p>
      <w:pPr>
        <w:spacing w:after="180"/>
        <w:jc w:val="center"/>
      </w:pPr>
      <w:r>
        <w:rPr>
          <w:rFonts w:ascii="SimHei" w:cs="SimHei" w:eastAsia="SimHei" w:hAnsi="SimHei"/>
          <w:b/>
          <w:bCs/>
          <w:sz w:val="16"/>
          <w:szCs w:val="16"/>
        </w:rPr>
        <w:t xml:space="preserve">图 1　38 株食源益生菌减脂潜力单菌排序：(A) 全部菌株按 v3 性质分排序，颜色表示推荐意见，标注表示队列证据方向；(B) 分档结构与关键结论</w:t>
      </w:r>
    </w:p>
    <w:p>
      <w:pPr>
        <w:pStyle w:val="Heading2"/>
        <w:spacing w:after="100" w:before="190"/>
      </w:pPr>
      <w:r>
        <w:rPr>
          <w:rFonts w:ascii="SimHei" w:cs="SimHei" w:eastAsia="SimHei" w:hAnsi="SimHei"/>
          <w:b/>
          <w:bCs/>
          <w:sz w:val="23"/>
          <w:szCs w:val="23"/>
        </w:rPr>
        <w:t xml:space="preserve">3.2　排序前 21 位明细</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700"/>
        <w:gridCol w:w="800"/>
        <w:gridCol w:w="560"/>
        <w:gridCol w:w="560"/>
        <w:gridCol w:w="560"/>
        <w:gridCol w:w="560"/>
        <w:gridCol w:w="1200"/>
        <w:gridCol w:w="1870"/>
      </w:tblGrid>
      <w:tr>
        <w:trPr>
          <w:tblHeader/>
        </w:trPr>
        <w:tc>
          <w:tcPr>
            <w:tcW w:type="dxa" w:w="56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left"/>
            </w:pPr>
            <w:r>
              <w:rPr>
                <w:rFonts w:ascii="SimSun" w:cs="SimSun" w:eastAsia="SimSun" w:hAnsi="SimSun"/>
                <w:b/>
                <w:bCs/>
                <w:sz w:val="15"/>
                <w:szCs w:val="15"/>
              </w:rPr>
              <w:t xml:space="preserve">排名</w:t>
            </w:r>
          </w:p>
        </w:tc>
        <w:tc>
          <w:tcPr>
            <w:tcW w:type="dxa" w:w="170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中文名</w:t>
            </w:r>
          </w:p>
        </w:tc>
        <w:tc>
          <w:tcPr>
            <w:tcW w:type="dxa" w:w="70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v3分</w:t>
            </w:r>
          </w:p>
        </w:tc>
        <w:tc>
          <w:tcPr>
            <w:tcW w:type="dxa" w:w="80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交叉喂养</w:t>
            </w:r>
          </w:p>
        </w:tc>
        <w:tc>
          <w:tcPr>
            <w:tcW w:type="dxa" w:w="56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BSH</w:t>
            </w:r>
          </w:p>
        </w:tc>
        <w:tc>
          <w:tcPr>
            <w:tcW w:type="dxa" w:w="56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安全</w:t>
            </w:r>
          </w:p>
        </w:tc>
        <w:tc>
          <w:tcPr>
            <w:tcW w:type="dxa" w:w="56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临床</w:t>
            </w:r>
          </w:p>
        </w:tc>
        <w:tc>
          <w:tcPr>
            <w:tcW w:type="dxa" w:w="56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工业</w:t>
            </w:r>
          </w:p>
        </w:tc>
        <w:tc>
          <w:tcPr>
            <w:tcW w:type="dxa" w:w="120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队列证据</w:t>
            </w:r>
          </w:p>
        </w:tc>
        <w:tc>
          <w:tcPr>
            <w:tcW w:type="dxa" w:w="187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推荐意见</w:t>
            </w:r>
          </w:p>
        </w:tc>
      </w:tr>
      <w:tr>
        <w:trPr>
          <w:tblHeader w:val="false"/>
        </w:trPr>
        <w:tc>
          <w:tcPr>
            <w:tcW w:type="dxa" w:w="56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1</w:t>
            </w:r>
          </w:p>
        </w:tc>
        <w:tc>
          <w:tcPr>
            <w:tcW w:type="dxa" w:w="170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副干酪乳酪杆菌</w:t>
            </w:r>
          </w:p>
        </w:tc>
        <w:tc>
          <w:tcPr>
            <w:tcW w:type="dxa" w:w="70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0.866</w:t>
            </w:r>
          </w:p>
        </w:tc>
        <w:tc>
          <w:tcPr>
            <w:tcW w:type="dxa" w:w="80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0.90</w:t>
            </w:r>
          </w:p>
        </w:tc>
        <w:tc>
          <w:tcPr>
            <w:tcW w:type="dxa" w:w="120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无数据（不可得）</w:t>
            </w:r>
          </w:p>
        </w:tc>
        <w:tc>
          <w:tcPr>
            <w:tcW w:type="dxa" w:w="187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推荐</w:t>
            </w:r>
          </w:p>
        </w:tc>
      </w:tr>
      <w:tr>
        <w:trPr>
          <w:tblHeader w:val="false"/>
        </w:trPr>
        <w:tc>
          <w:tcPr>
            <w:tcW w:type="dxa" w:w="56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2</w:t>
            </w:r>
          </w:p>
        </w:tc>
        <w:tc>
          <w:tcPr>
            <w:tcW w:type="dxa" w:w="170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植物乳植杆菌</w:t>
            </w:r>
          </w:p>
        </w:tc>
        <w:tc>
          <w:tcPr>
            <w:tcW w:type="dxa" w:w="70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0.866</w:t>
            </w:r>
          </w:p>
        </w:tc>
        <w:tc>
          <w:tcPr>
            <w:tcW w:type="dxa" w:w="80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0.90</w:t>
            </w:r>
          </w:p>
        </w:tc>
        <w:tc>
          <w:tcPr>
            <w:tcW w:type="dxa" w:w="120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无数据（不可得）</w:t>
            </w:r>
          </w:p>
        </w:tc>
        <w:tc>
          <w:tcPr>
            <w:tcW w:type="dxa" w:w="1870"/>
            <w:tcBorders>
              <w:top w:val="single" w:color="BBBBBB" w:sz="1"/>
              <w:left w:val="single" w:color="BBBBBB" w:sz="1"/>
              <w:bottom w:val="single" w:color="BBBBBB" w:sz="1"/>
              <w:right w:val="single" w:color="BBBBBB" w:sz="1"/>
            </w:tcBorders>
            <w:shd w:fill="E6EEF7"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推荐</w:t>
            </w:r>
          </w:p>
        </w:tc>
      </w:tr>
      <w:tr>
        <w:trPr>
          <w:tblHeader w:val="false"/>
        </w:trPr>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3</w:t>
            </w:r>
          </w:p>
        </w:tc>
        <w:tc>
          <w:tcPr>
            <w:tcW w:type="dxa" w:w="1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干酪乳酪杆菌</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0.768</w:t>
            </w:r>
          </w:p>
        </w:tc>
        <w:tc>
          <w:tcPr>
            <w:tcW w:type="dxa" w:w="8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0.90</w:t>
            </w:r>
          </w:p>
        </w:tc>
        <w:tc>
          <w:tcPr>
            <w:tcW w:type="dxa" w:w="12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无数据（不可得）</w:t>
            </w:r>
          </w:p>
        </w:tc>
        <w:tc>
          <w:tcPr>
            <w:tcW w:type="dxa" w:w="18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备选</w:t>
            </w:r>
          </w:p>
        </w:tc>
      </w:tr>
      <w:tr>
        <w:trPr>
          <w:tblHeader w:val="false"/>
        </w:trPr>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4</w:t>
            </w:r>
          </w:p>
        </w:tc>
        <w:tc>
          <w:tcPr>
            <w:tcW w:type="dxa" w:w="1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鼠李糖乳酪杆菌</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0.768</w:t>
            </w:r>
          </w:p>
        </w:tc>
        <w:tc>
          <w:tcPr>
            <w:tcW w:type="dxa" w:w="8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0.90</w:t>
            </w:r>
          </w:p>
        </w:tc>
        <w:tc>
          <w:tcPr>
            <w:tcW w:type="dxa" w:w="12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无数据（不可得）</w:t>
            </w:r>
          </w:p>
        </w:tc>
        <w:tc>
          <w:tcPr>
            <w:tcW w:type="dxa" w:w="18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备选</w:t>
            </w:r>
          </w:p>
        </w:tc>
      </w:tr>
      <w:tr>
        <w:trPr>
          <w:tblHeader w:val="false"/>
        </w:trPr>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5</w:t>
            </w:r>
          </w:p>
        </w:tc>
        <w:tc>
          <w:tcPr>
            <w:tcW w:type="dxa" w:w="1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嗜酸乳杆菌</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0.761</w:t>
            </w:r>
          </w:p>
        </w:tc>
        <w:tc>
          <w:tcPr>
            <w:tcW w:type="dxa" w:w="8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0.85</w:t>
            </w:r>
          </w:p>
        </w:tc>
        <w:tc>
          <w:tcPr>
            <w:tcW w:type="dxa" w:w="12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受检但不显著</w:t>
            </w:r>
          </w:p>
        </w:tc>
        <w:tc>
          <w:tcPr>
            <w:tcW w:type="dxa" w:w="18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备选</w:t>
            </w:r>
          </w:p>
        </w:tc>
      </w:tr>
      <w:tr>
        <w:trPr>
          <w:tblHeader w:val="false"/>
        </w:trPr>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6</w:t>
            </w:r>
          </w:p>
        </w:tc>
        <w:tc>
          <w:tcPr>
            <w:tcW w:type="dxa" w:w="1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卷曲乳杆菌</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0.761</w:t>
            </w:r>
          </w:p>
        </w:tc>
        <w:tc>
          <w:tcPr>
            <w:tcW w:type="dxa" w:w="8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0.85</w:t>
            </w:r>
          </w:p>
        </w:tc>
        <w:tc>
          <w:tcPr>
            <w:tcW w:type="dxa" w:w="12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无数据（不可得）</w:t>
            </w:r>
          </w:p>
        </w:tc>
        <w:tc>
          <w:tcPr>
            <w:tcW w:type="dxa" w:w="18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备选</w:t>
            </w:r>
          </w:p>
        </w:tc>
      </w:tr>
      <w:tr>
        <w:trPr>
          <w:tblHeader w:val="false"/>
        </w:trPr>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7</w:t>
            </w:r>
          </w:p>
        </w:tc>
        <w:tc>
          <w:tcPr>
            <w:tcW w:type="dxa" w:w="1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格氏乳杆菌</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0.761</w:t>
            </w:r>
          </w:p>
        </w:tc>
        <w:tc>
          <w:tcPr>
            <w:tcW w:type="dxa" w:w="8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0.85</w:t>
            </w:r>
          </w:p>
        </w:tc>
        <w:tc>
          <w:tcPr>
            <w:tcW w:type="dxa" w:w="12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无数据（不可得）</w:t>
            </w:r>
          </w:p>
        </w:tc>
        <w:tc>
          <w:tcPr>
            <w:tcW w:type="dxa" w:w="18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备选</w:t>
            </w:r>
          </w:p>
        </w:tc>
      </w:tr>
      <w:tr>
        <w:trPr>
          <w:tblHeader w:val="false"/>
        </w:trPr>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8</w:t>
            </w:r>
          </w:p>
        </w:tc>
        <w:tc>
          <w:tcPr>
            <w:tcW w:type="dxa" w:w="1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瑞士乳杆菌</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0.761</w:t>
            </w:r>
          </w:p>
        </w:tc>
        <w:tc>
          <w:tcPr>
            <w:tcW w:type="dxa" w:w="8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0.85</w:t>
            </w:r>
          </w:p>
        </w:tc>
        <w:tc>
          <w:tcPr>
            <w:tcW w:type="dxa" w:w="12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无数据（不可得）</w:t>
            </w:r>
          </w:p>
        </w:tc>
        <w:tc>
          <w:tcPr>
            <w:tcW w:type="dxa" w:w="18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备选</w:t>
            </w:r>
          </w:p>
        </w:tc>
      </w:tr>
      <w:tr>
        <w:trPr>
          <w:tblHeader w:val="false"/>
        </w:trPr>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9</w:t>
            </w:r>
          </w:p>
        </w:tc>
        <w:tc>
          <w:tcPr>
            <w:tcW w:type="dxa" w:w="1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约氏乳杆菌</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0.761</w:t>
            </w:r>
          </w:p>
        </w:tc>
        <w:tc>
          <w:tcPr>
            <w:tcW w:type="dxa" w:w="8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0.85</w:t>
            </w:r>
          </w:p>
        </w:tc>
        <w:tc>
          <w:tcPr>
            <w:tcW w:type="dxa" w:w="12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无数据（不可得）</w:t>
            </w:r>
          </w:p>
        </w:tc>
        <w:tc>
          <w:tcPr>
            <w:tcW w:type="dxa" w:w="18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备选</w:t>
            </w:r>
          </w:p>
        </w:tc>
      </w:tr>
      <w:tr>
        <w:trPr>
          <w:tblHeader w:val="false"/>
        </w:trPr>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10</w:t>
            </w:r>
          </w:p>
        </w:tc>
        <w:tc>
          <w:tcPr>
            <w:tcW w:type="dxa" w:w="1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罗戈萨乳杆菌</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0.761</w:t>
            </w:r>
          </w:p>
        </w:tc>
        <w:tc>
          <w:tcPr>
            <w:tcW w:type="dxa" w:w="8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0.85</w:t>
            </w:r>
          </w:p>
        </w:tc>
        <w:tc>
          <w:tcPr>
            <w:tcW w:type="dxa" w:w="12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受检但不显著</w:t>
            </w:r>
          </w:p>
        </w:tc>
        <w:tc>
          <w:tcPr>
            <w:tcW w:type="dxa" w:w="18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备选</w:t>
            </w:r>
          </w:p>
        </w:tc>
      </w:tr>
      <w:tr>
        <w:trPr>
          <w:tblHeader w:val="false"/>
        </w:trPr>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11</w:t>
            </w:r>
          </w:p>
        </w:tc>
        <w:tc>
          <w:tcPr>
            <w:tcW w:type="dxa" w:w="1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瘤胃乳杆菌</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0.761</w:t>
            </w:r>
          </w:p>
        </w:tc>
        <w:tc>
          <w:tcPr>
            <w:tcW w:type="dxa" w:w="8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0.85</w:t>
            </w:r>
          </w:p>
        </w:tc>
        <w:tc>
          <w:tcPr>
            <w:tcW w:type="dxa" w:w="12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受检但不显著</w:t>
            </w:r>
          </w:p>
        </w:tc>
        <w:tc>
          <w:tcPr>
            <w:tcW w:type="dxa" w:w="18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备选</w:t>
            </w:r>
          </w:p>
        </w:tc>
      </w:tr>
      <w:tr>
        <w:trPr>
          <w:tblHeader w:val="false"/>
        </w:trPr>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12</w:t>
            </w:r>
          </w:p>
        </w:tc>
        <w:tc>
          <w:tcPr>
            <w:tcW w:type="dxa" w:w="1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发酵黏液乳杆菌</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0.761</w:t>
            </w:r>
          </w:p>
        </w:tc>
        <w:tc>
          <w:tcPr>
            <w:tcW w:type="dxa" w:w="8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0.85</w:t>
            </w:r>
          </w:p>
        </w:tc>
        <w:tc>
          <w:tcPr>
            <w:tcW w:type="dxa" w:w="12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无数据（不可得）</w:t>
            </w:r>
          </w:p>
        </w:tc>
        <w:tc>
          <w:tcPr>
            <w:tcW w:type="dxa" w:w="18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备选</w:t>
            </w:r>
          </w:p>
        </w:tc>
      </w:tr>
      <w:tr>
        <w:trPr>
          <w:tblHeader w:val="false"/>
        </w:trPr>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13</w:t>
            </w:r>
          </w:p>
        </w:tc>
        <w:tc>
          <w:tcPr>
            <w:tcW w:type="dxa" w:w="1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罗伊氏黏液乳杆菌</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0.761</w:t>
            </w:r>
          </w:p>
        </w:tc>
        <w:tc>
          <w:tcPr>
            <w:tcW w:type="dxa" w:w="8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0.85</w:t>
            </w:r>
          </w:p>
        </w:tc>
        <w:tc>
          <w:tcPr>
            <w:tcW w:type="dxa" w:w="12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无数据（不可得）</w:t>
            </w:r>
          </w:p>
        </w:tc>
        <w:tc>
          <w:tcPr>
            <w:tcW w:type="dxa" w:w="18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备选</w:t>
            </w:r>
          </w:p>
        </w:tc>
      </w:tr>
      <w:tr>
        <w:trPr>
          <w:tblHeader w:val="false"/>
        </w:trPr>
        <w:tc>
          <w:tcPr>
            <w:tcW w:type="dxa" w:w="56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14</w:t>
            </w:r>
          </w:p>
        </w:tc>
        <w:tc>
          <w:tcPr>
            <w:tcW w:type="dxa" w:w="170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动物双歧杆菌</w:t>
            </w:r>
          </w:p>
        </w:tc>
        <w:tc>
          <w:tcPr>
            <w:tcW w:type="dxa" w:w="70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0.749</w:t>
            </w:r>
          </w:p>
        </w:tc>
        <w:tc>
          <w:tcPr>
            <w:tcW w:type="dxa" w:w="80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0.5</w:t>
            </w:r>
          </w:p>
        </w:tc>
        <w:tc>
          <w:tcPr>
            <w:tcW w:type="dxa" w:w="56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0.60</w:t>
            </w:r>
          </w:p>
        </w:tc>
        <w:tc>
          <w:tcPr>
            <w:tcW w:type="dxa" w:w="120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支持(瘦)</w:t>
            </w:r>
          </w:p>
        </w:tc>
        <w:tc>
          <w:tcPr>
            <w:tcW w:type="dxa" w:w="187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首选</w:t>
            </w:r>
          </w:p>
        </w:tc>
      </w:tr>
      <w:tr>
        <w:trPr>
          <w:tblHeader w:val="false"/>
        </w:trPr>
        <w:tc>
          <w:tcPr>
            <w:tcW w:type="dxa" w:w="56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15</w:t>
            </w:r>
          </w:p>
        </w:tc>
        <w:tc>
          <w:tcPr>
            <w:tcW w:type="dxa" w:w="170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长双歧杆菌</w:t>
            </w:r>
          </w:p>
        </w:tc>
        <w:tc>
          <w:tcPr>
            <w:tcW w:type="dxa" w:w="70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0.749</w:t>
            </w:r>
          </w:p>
        </w:tc>
        <w:tc>
          <w:tcPr>
            <w:tcW w:type="dxa" w:w="80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0.5</w:t>
            </w:r>
          </w:p>
        </w:tc>
        <w:tc>
          <w:tcPr>
            <w:tcW w:type="dxa" w:w="56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0.60</w:t>
            </w:r>
          </w:p>
        </w:tc>
        <w:tc>
          <w:tcPr>
            <w:tcW w:type="dxa" w:w="120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支持(瘦)</w:t>
            </w:r>
          </w:p>
        </w:tc>
        <w:tc>
          <w:tcPr>
            <w:tcW w:type="dxa" w:w="1870"/>
            <w:tcBorders>
              <w:top w:val="single" w:color="BBBBBB" w:sz="1"/>
              <w:left w:val="single" w:color="BBBBBB" w:sz="1"/>
              <w:bottom w:val="single" w:color="BBBBBB" w:sz="1"/>
              <w:right w:val="single" w:color="BBBBBB" w:sz="1"/>
            </w:tcBorders>
            <w:shd w:fill="E3F1E8"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首选</w:t>
            </w:r>
          </w:p>
        </w:tc>
      </w:tr>
      <w:tr>
        <w:trPr>
          <w:tblHeader w:val="false"/>
        </w:trPr>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16</w:t>
            </w:r>
          </w:p>
        </w:tc>
        <w:tc>
          <w:tcPr>
            <w:tcW w:type="dxa" w:w="17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短双歧杆菌</w:t>
            </w:r>
          </w:p>
        </w:tc>
        <w:tc>
          <w:tcPr>
            <w:tcW w:type="dxa" w:w="7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0.749</w:t>
            </w:r>
          </w:p>
        </w:tc>
        <w:tc>
          <w:tcPr>
            <w:tcW w:type="dxa" w:w="8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0.5</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0.60</w:t>
            </w:r>
          </w:p>
        </w:tc>
        <w:tc>
          <w:tcPr>
            <w:tcW w:type="dxa" w:w="12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反证(胖)</w:t>
            </w:r>
          </w:p>
        </w:tc>
        <w:tc>
          <w:tcPr>
            <w:tcW w:type="dxa" w:w="187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慎用</w:t>
            </w:r>
          </w:p>
        </w:tc>
      </w:tr>
      <w:tr>
        <w:trPr>
          <w:tblHeader w:val="false"/>
        </w:trPr>
        <w:tc>
          <w:tcPr>
            <w:tcW w:type="dxa" w:w="560"/>
            <w:tcBorders>
              <w:top w:val="single" w:color="BBBBBB" w:sz="1"/>
              <w:left w:val="single" w:color="BBBBBB" w:sz="1"/>
              <w:bottom w:val="single" w:color="BBBBBB" w:sz="1"/>
              <w:right w:val="single" w:color="BBBBBB" w:sz="1"/>
            </w:tcBorders>
            <w:shd w:fill="F0EAF6"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17</w:t>
            </w:r>
          </w:p>
        </w:tc>
        <w:tc>
          <w:tcPr>
            <w:tcW w:type="dxa" w:w="1700"/>
            <w:tcBorders>
              <w:top w:val="single" w:color="BBBBBB" w:sz="1"/>
              <w:left w:val="single" w:color="BBBBBB" w:sz="1"/>
              <w:bottom w:val="single" w:color="BBBBBB" w:sz="1"/>
              <w:right w:val="single" w:color="BBBBBB" w:sz="1"/>
            </w:tcBorders>
            <w:shd w:fill="F0EAF6"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链状双歧杆菌</w:t>
            </w:r>
          </w:p>
        </w:tc>
        <w:tc>
          <w:tcPr>
            <w:tcW w:type="dxa" w:w="700"/>
            <w:tcBorders>
              <w:top w:val="single" w:color="BBBBBB" w:sz="1"/>
              <w:left w:val="single" w:color="BBBBBB" w:sz="1"/>
              <w:bottom w:val="single" w:color="BBBBBB" w:sz="1"/>
              <w:right w:val="single" w:color="BBBBBB" w:sz="1"/>
            </w:tcBorders>
            <w:shd w:fill="F0EAF6"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0.651</w:t>
            </w:r>
          </w:p>
        </w:tc>
        <w:tc>
          <w:tcPr>
            <w:tcW w:type="dxa" w:w="800"/>
            <w:tcBorders>
              <w:top w:val="single" w:color="BBBBBB" w:sz="1"/>
              <w:left w:val="single" w:color="BBBBBB" w:sz="1"/>
              <w:bottom w:val="single" w:color="BBBBBB" w:sz="1"/>
              <w:right w:val="single" w:color="BBBBBB" w:sz="1"/>
            </w:tcBorders>
            <w:shd w:fill="F0EAF6"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0EAF6"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0.5</w:t>
            </w:r>
          </w:p>
        </w:tc>
        <w:tc>
          <w:tcPr>
            <w:tcW w:type="dxa" w:w="560"/>
            <w:tcBorders>
              <w:top w:val="single" w:color="BBBBBB" w:sz="1"/>
              <w:left w:val="single" w:color="BBBBBB" w:sz="1"/>
              <w:bottom w:val="single" w:color="BBBBBB" w:sz="1"/>
              <w:right w:val="single" w:color="BBBBBB" w:sz="1"/>
            </w:tcBorders>
            <w:shd w:fill="F0EAF6"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0EAF6"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0EAF6"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0.60</w:t>
            </w:r>
          </w:p>
        </w:tc>
        <w:tc>
          <w:tcPr>
            <w:tcW w:type="dxa" w:w="1200"/>
            <w:tcBorders>
              <w:top w:val="single" w:color="BBBBBB" w:sz="1"/>
              <w:left w:val="single" w:color="BBBBBB" w:sz="1"/>
              <w:bottom w:val="single" w:color="BBBBBB" w:sz="1"/>
              <w:right w:val="single" w:color="BBBBBB" w:sz="1"/>
            </w:tcBorders>
            <w:shd w:fill="F0EAF6"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支持(瘦)</w:t>
            </w:r>
          </w:p>
        </w:tc>
        <w:tc>
          <w:tcPr>
            <w:tcW w:type="dxa" w:w="1870"/>
            <w:tcBorders>
              <w:top w:val="single" w:color="BBBBBB" w:sz="1"/>
              <w:left w:val="single" w:color="BBBBBB" w:sz="1"/>
              <w:bottom w:val="single" w:color="BBBBBB" w:sz="1"/>
              <w:right w:val="single" w:color="BBBBBB" w:sz="1"/>
            </w:tcBorders>
            <w:shd w:fill="F0EAF6"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值得关注</w:t>
            </w:r>
          </w:p>
        </w:tc>
      </w:tr>
      <w:tr>
        <w:trPr>
          <w:tblHeader w:val="false"/>
        </w:trPr>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18</w:t>
            </w:r>
          </w:p>
        </w:tc>
        <w:tc>
          <w:tcPr>
            <w:tcW w:type="dxa" w:w="1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齿双歧杆菌</w:t>
            </w:r>
          </w:p>
        </w:tc>
        <w:tc>
          <w:tcPr>
            <w:tcW w:type="dxa" w:w="7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0.651</w:t>
            </w:r>
          </w:p>
        </w:tc>
        <w:tc>
          <w:tcPr>
            <w:tcW w:type="dxa" w:w="8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0.5</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0.60</w:t>
            </w:r>
          </w:p>
        </w:tc>
        <w:tc>
          <w:tcPr>
            <w:tcW w:type="dxa" w:w="12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受检但不显著</w:t>
            </w:r>
          </w:p>
        </w:tc>
        <w:tc>
          <w:tcPr>
            <w:tcW w:type="dxa" w:w="18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低优先</w:t>
            </w:r>
          </w:p>
        </w:tc>
      </w:tr>
      <w:tr>
        <w:trPr>
          <w:tblHeader w:val="false"/>
        </w:trPr>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19</w:t>
            </w:r>
          </w:p>
        </w:tc>
        <w:tc>
          <w:tcPr>
            <w:tcW w:type="dxa" w:w="17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青春双歧杆菌</w:t>
            </w:r>
          </w:p>
        </w:tc>
        <w:tc>
          <w:tcPr>
            <w:tcW w:type="dxa" w:w="7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0.651</w:t>
            </w:r>
          </w:p>
        </w:tc>
        <w:tc>
          <w:tcPr>
            <w:tcW w:type="dxa" w:w="8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0.5</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0.60</w:t>
            </w:r>
          </w:p>
        </w:tc>
        <w:tc>
          <w:tcPr>
            <w:tcW w:type="dxa" w:w="12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反证(胖)</w:t>
            </w:r>
          </w:p>
        </w:tc>
        <w:tc>
          <w:tcPr>
            <w:tcW w:type="dxa" w:w="187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慎用</w:t>
            </w:r>
          </w:p>
        </w:tc>
      </w:tr>
      <w:tr>
        <w:trPr>
          <w:tblHeader w:val="false"/>
        </w:trPr>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20</w:t>
            </w:r>
          </w:p>
        </w:tc>
        <w:tc>
          <w:tcPr>
            <w:tcW w:type="dxa" w:w="17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两歧双歧杆菌</w:t>
            </w:r>
          </w:p>
        </w:tc>
        <w:tc>
          <w:tcPr>
            <w:tcW w:type="dxa" w:w="7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0.651</w:t>
            </w:r>
          </w:p>
        </w:tc>
        <w:tc>
          <w:tcPr>
            <w:tcW w:type="dxa" w:w="8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0.5</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0.60</w:t>
            </w:r>
          </w:p>
        </w:tc>
        <w:tc>
          <w:tcPr>
            <w:tcW w:type="dxa" w:w="12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反证(胖)</w:t>
            </w:r>
          </w:p>
        </w:tc>
        <w:tc>
          <w:tcPr>
            <w:tcW w:type="dxa" w:w="187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慎用</w:t>
            </w:r>
          </w:p>
        </w:tc>
      </w:tr>
      <w:tr>
        <w:trPr>
          <w:tblHeader w:val="false"/>
        </w:trPr>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21</w:t>
            </w:r>
          </w:p>
        </w:tc>
        <w:tc>
          <w:tcPr>
            <w:tcW w:type="dxa" w:w="17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假链状双歧杆菌</w:t>
            </w:r>
          </w:p>
        </w:tc>
        <w:tc>
          <w:tcPr>
            <w:tcW w:type="dxa" w:w="7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0.651</w:t>
            </w:r>
          </w:p>
        </w:tc>
        <w:tc>
          <w:tcPr>
            <w:tcW w:type="dxa" w:w="8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0.5</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1.00</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0.35</w:t>
            </w:r>
          </w:p>
        </w:tc>
        <w:tc>
          <w:tcPr>
            <w:tcW w:type="dxa" w:w="56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0.60</w:t>
            </w:r>
          </w:p>
        </w:tc>
        <w:tc>
          <w:tcPr>
            <w:tcW w:type="dxa" w:w="120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反证(胖)</w:t>
            </w:r>
          </w:p>
        </w:tc>
        <w:tc>
          <w:tcPr>
            <w:tcW w:type="dxa" w:w="1870"/>
            <w:tcBorders>
              <w:top w:val="single" w:color="BBBBBB" w:sz="1"/>
              <w:left w:val="single" w:color="BBBBBB" w:sz="1"/>
              <w:bottom w:val="single" w:color="BBBBBB" w:sz="1"/>
              <w:right w:val="single" w:color="BBBBBB" w:sz="1"/>
            </w:tcBorders>
            <w:shd w:fill="FBEEE2"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慎用</w:t>
            </w:r>
          </w:p>
        </w:tc>
      </w:tr>
    </w:tbl>
    <w:p>
      <w:pPr>
        <w:spacing w:after="170" w:before="60"/>
        <w:jc w:val="center"/>
      </w:pPr>
      <w:r>
        <w:rPr>
          <w:rFonts w:ascii="SimHei" w:cs="SimHei" w:eastAsia="SimHei" w:hAnsi="SimHei"/>
          <w:b/>
          <w:bCs/>
          <w:sz w:val="16"/>
          <w:szCs w:val="16"/>
        </w:rPr>
        <w:t xml:space="preserve">表 3　单菌排序前 21 位（余下 17 位见配套数据表）</w:t>
      </w:r>
    </w:p>
    <w:p>
      <w:pPr>
        <w:pStyle w:val="Heading2"/>
        <w:spacing w:after="100" w:before="190"/>
      </w:pPr>
      <w:r>
        <w:rPr>
          <w:rFonts w:ascii="SimHei" w:cs="SimHei" w:eastAsia="SimHei" w:hAnsi="SimHei"/>
          <w:b/>
          <w:bCs/>
          <w:sz w:val="23"/>
          <w:szCs w:val="23"/>
        </w:rPr>
        <w:t xml:space="preserve">3.3　关键结果</w:t>
      </w:r>
    </w:p>
    <w:p>
      <w:pPr>
        <w:spacing w:after="100" w:line="340"/>
        <w:ind w:firstLine="440"/>
        <w:jc w:val="both"/>
      </w:pPr>
      <w:r>
        <w:rPr>
          <w:rFonts w:ascii="SimSun" w:cs="SimSun" w:eastAsia="SimSun" w:hAnsi="SimSun"/>
          <w:b/>
          <w:bCs/>
          <w:sz w:val="21"/>
          <w:szCs w:val="21"/>
        </w:rPr>
        <w:t xml:space="preserve">（1）排名第一并非最优选择。</w:t>
      </w:r>
      <w:r>
        <w:rPr>
          <w:rFonts w:ascii="SimSun" w:cs="SimSun" w:eastAsia="SimSun" w:hAnsi="SimSun"/>
          <w:sz w:val="21"/>
          <w:szCs w:val="21"/>
        </w:rPr>
        <w:t xml:space="preserve"> 副干酪乳酪杆菌与植物乳植杆菌性质分并列最高（0.866），在强 BSH、强交叉喂养、QPS 安全与临床先例四项上全部占优。但二者在队列中完全无数据——乳杆菌不是肠道常驻菌，其减脂潜力只能依靠机制推断。</w:t>
      </w:r>
    </w:p>
    <w:p>
      <w:pPr>
        <w:spacing w:after="100" w:line="340"/>
        <w:ind w:firstLine="440"/>
        <w:jc w:val="both"/>
      </w:pPr>
      <w:r>
        <w:rPr>
          <w:rFonts w:ascii="SimSun" w:cs="SimSun" w:eastAsia="SimSun" w:hAnsi="SimSun"/>
          <w:b/>
          <w:bCs/>
          <w:sz w:val="21"/>
          <w:szCs w:val="21"/>
        </w:rPr>
        <w:t xml:space="preserve">（2）真正的首选是动物双歧杆菌与长双歧杆菌。</w:t>
      </w:r>
      <w:r>
        <w:rPr>
          <w:rFonts w:ascii="SimSun" w:cs="SimSun" w:eastAsia="SimSun" w:hAnsi="SimSun"/>
          <w:sz w:val="21"/>
          <w:szCs w:val="21"/>
        </w:rPr>
        <w:t xml:space="preserve"> 二者是 38 株中唯一同时具备性质优、临床先例与队列证据支持三重条件者：动物双歧杆菌在西欧队列显著瘦人富集（倍数变化 0.62，即肥胖者丰度为瘦人的 62%，FDR=0.004），长双歧杆菌同样显著（倍数变化 0.65，FDR=0.042）。其性质分（0.749）低于第一档，差距全部来自工业可行性（双歧杆菌 0.60 对乳杆菌 0.90，因需厌氧且难稳定）与 BSH 强度（0.5 对 1.0）。</w:t>
      </w:r>
      <w:r>
        <w:rPr>
          <w:rFonts w:ascii="SimSun" w:cs="SimSun" w:eastAsia="SimSun" w:hAnsi="SimSun"/>
          <w:b/>
          <w:bCs/>
          <w:sz w:val="21"/>
          <w:szCs w:val="21"/>
        </w:rPr>
        <w:t xml:space="preserve">即评分劣势属工程与机制层面，而证据优势是真实的人群数据；以预测减脂效果为目标时应以此二株为首选。</w:t>
      </w:r>
    </w:p>
    <w:p>
      <w:pPr>
        <w:spacing w:after="100" w:line="340"/>
        <w:ind w:firstLine="440"/>
        <w:jc w:val="both"/>
      </w:pPr>
      <w:r>
        <w:rPr>
          <w:rFonts w:ascii="SimSun" w:cs="SimSun" w:eastAsia="SimSun" w:hAnsi="SimSun"/>
          <w:b/>
          <w:bCs/>
          <w:sz w:val="21"/>
          <w:szCs w:val="21"/>
        </w:rPr>
        <w:t xml:space="preserve">（3）链状双歧杆菌值得单独关注。</w:t>
      </w:r>
      <w:r>
        <w:rPr>
          <w:rFonts w:ascii="SimSun" w:cs="SimSun" w:eastAsia="SimSun" w:hAnsi="SimSun"/>
          <w:sz w:val="21"/>
          <w:szCs w:val="21"/>
        </w:rPr>
        <w:t xml:space="preserve"> 它拥有全部食源菌中最强的队列支持信号——中东队列显著瘦人富集，倍数变化 0.48，即肥胖者丰度不足瘦人一半，强于动物双歧杆菌的 0.62。但因缺乏临床先例，性质分仅 0.652。建议将其列为需补做临床验证的高潜力候选，而非直接排除。</w:t>
      </w:r>
    </w:p>
    <w:p>
      <w:pPr>
        <w:spacing w:after="100" w:line="340"/>
        <w:ind w:firstLine="440"/>
        <w:jc w:val="both"/>
      </w:pPr>
      <w:r>
        <w:rPr>
          <w:rFonts w:ascii="SimSun" w:cs="SimSun" w:eastAsia="SimSun" w:hAnsi="SimSun"/>
          <w:b/>
          <w:bCs/>
          <w:sz w:val="21"/>
          <w:szCs w:val="21"/>
        </w:rPr>
        <w:t xml:space="preserve">（4）四株常用商业双歧杆菌存在队列反证。</w:t>
      </w:r>
      <w:r>
        <w:rPr>
          <w:rFonts w:ascii="SimSun" w:cs="SimSun" w:eastAsia="SimSun" w:hAnsi="SimSun"/>
          <w:sz w:val="21"/>
          <w:szCs w:val="21"/>
        </w:rPr>
        <w:t xml:space="preserve"> 短双歧杆菌、青春双歧杆菌、两歧双歧杆菌与假链状双歧杆菌在北美队列显著肥胖富集（倍数变化 3.15–7.39）。虽然主评分不含队列项，该旗标提示其在北美人群中的减脂定位存疑，建议该市场慎用或先行人群验证。需强调的是，同属菌在西欧与中东方向相反，说明该结论具有地区特异性。</w:t>
      </w:r>
    </w:p>
    <w:p>
      <w:pPr>
        <w:spacing w:after="100" w:line="340"/>
        <w:ind w:firstLine="440"/>
        <w:jc w:val="both"/>
      </w:pPr>
      <w:r>
        <w:rPr>
          <w:rFonts w:ascii="SimSun" w:cs="SimSun" w:eastAsia="SimSun" w:hAnsi="SimSun"/>
          <w:b/>
          <w:bCs/>
          <w:sz w:val="21"/>
          <w:szCs w:val="21"/>
        </w:rPr>
        <w:t xml:space="preserve">（5）芽孢杆菌与酵母排名靠后源于机制而非安全。</w:t>
      </w:r>
      <w:r>
        <w:rPr>
          <w:rFonts w:ascii="SimSun" w:cs="SimSun" w:eastAsia="SimSun" w:hAnsi="SimSun"/>
          <w:sz w:val="21"/>
          <w:szCs w:val="21"/>
        </w:rPr>
        <w:t xml:space="preserve"> 凝结芽孢杆菌与枯草芽孢杆菌的工业可行性最高（1.00），但交叉喂养与 BSH 均为 0——它们不产乳酸/乙酸，缺少本方法认定的核心机制；布拉氏酵母同理（真核生物，机制路径不同）。这不否定其在腹泻等其他适应症中的价值，仅说明按减脂机制排序时不占优。</w:t>
      </w:r>
    </w:p>
    <w:p>
      <w:pPr>
        <w:spacing w:after="100" w:line="340"/>
        <w:ind w:firstLine="440"/>
        <w:jc w:val="both"/>
      </w:pPr>
      <w:r>
        <w:rPr>
          <w:rFonts w:ascii="SimSun" w:cs="SimSun" w:eastAsia="SimSun" w:hAnsi="SimSun"/>
          <w:b/>
          <w:bCs/>
          <w:sz w:val="21"/>
          <w:szCs w:val="21"/>
        </w:rPr>
        <w:t xml:space="preserve">（6）链球菌属 11 株不予推荐的原因是安全等级。</w:t>
      </w:r>
      <w:r>
        <w:rPr>
          <w:rFonts w:ascii="SimSun" w:cs="SimSun" w:eastAsia="SimSun" w:hAnsi="SimSun"/>
          <w:sz w:val="21"/>
          <w:szCs w:val="21"/>
        </w:rPr>
        <w:t xml:space="preserve"> 其安全分为 0.25（属内含病原种，需菌株级审查），而非减脂性质不佳——其交叉喂养能力实为 1.0。若某特定商业株已通过菌株级安全评估，可单独重新评价。</w:t>
      </w:r>
    </w:p>
    <w:p>
      <w:pPr>
        <w:pStyle w:val="Heading2"/>
        <w:spacing w:after="100" w:before="190"/>
      </w:pPr>
      <w:r>
        <w:rPr>
          <w:rFonts w:ascii="SimHei" w:cs="SimHei" w:eastAsia="SimHei" w:hAnsi="SimHei"/>
          <w:b/>
          <w:bCs/>
          <w:sz w:val="23"/>
          <w:szCs w:val="23"/>
        </w:rPr>
        <w:t xml:space="preserve">3.4　组合评分结果</w:t>
      </w:r>
    </w:p>
    <w:p>
      <w:pPr>
        <w:spacing w:after="100" w:line="340"/>
        <w:ind w:firstLine="440"/>
        <w:jc w:val="both"/>
      </w:pPr>
      <w:r>
        <w:rPr>
          <w:rFonts w:ascii="SimSun" w:cs="SimSun" w:eastAsia="SimSun" w:hAnsi="SimSun"/>
          <w:sz w:val="21"/>
          <w:szCs w:val="21"/>
        </w:rPr>
        <w:t xml:space="preserve">在排除需安全审查者与队列反证者后，可建组合池为 23 株，共产生 10,879 个候选组合。</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900"/>
        <w:gridCol w:w="2470"/>
      </w:tblGrid>
      <w:tr>
        <w:trPr>
          <w:tblHeader/>
        </w:trPr>
        <w:tc>
          <w:tcPr>
            <w:tcW w:type="dxa" w:w="150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left"/>
            </w:pPr>
            <w:r>
              <w:rPr>
                <w:rFonts w:ascii="SimSun" w:cs="SimSun" w:eastAsia="SimSun" w:hAnsi="SimSun"/>
                <w:b/>
                <w:bCs/>
                <w:sz w:val="15"/>
                <w:szCs w:val="15"/>
              </w:rPr>
              <w:t xml:space="preserve">方案</w:t>
            </w:r>
          </w:p>
        </w:tc>
        <w:tc>
          <w:tcPr>
            <w:tcW w:type="dxa" w:w="420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组成</w:t>
            </w:r>
          </w:p>
        </w:tc>
        <w:tc>
          <w:tcPr>
            <w:tcW w:type="dxa" w:w="90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综合分</w:t>
            </w:r>
          </w:p>
        </w:tc>
        <w:tc>
          <w:tcPr>
            <w:tcW w:type="dxa" w:w="247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特点</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A（全局最优）</w:t>
            </w:r>
          </w:p>
        </w:tc>
        <w:tc>
          <w:tcPr>
            <w:tcW w:type="dxa" w:w="42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副干酪乳酪杆菌 + 植物乳植杆菌</w:t>
            </w:r>
          </w:p>
        </w:tc>
        <w:tc>
          <w:tcPr>
            <w:tcW w:type="dxa" w:w="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0.9035</w:t>
            </w:r>
          </w:p>
        </w:tc>
        <w:tc>
          <w:tcPr>
            <w:tcW w:type="dxa" w:w="24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性质最优，但两株均无队列证据</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B（推荐）</w:t>
            </w:r>
          </w:p>
        </w:tc>
        <w:tc>
          <w:tcPr>
            <w:tcW w:type="dxa" w:w="42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副干酪乳酪杆菌 + 植物乳植杆菌 + 动物双歧杆菌</w:t>
            </w:r>
          </w:p>
        </w:tc>
        <w:tc>
          <w:tcPr>
            <w:tcW w:type="dxa" w:w="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0.8754</w:t>
            </w:r>
          </w:p>
        </w:tc>
        <w:tc>
          <w:tcPr>
            <w:tcW w:type="dxa" w:w="24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在 A 基础上加入唯一具队列支持且有临床先例的成员</w:t>
            </w:r>
          </w:p>
        </w:tc>
      </w:tr>
    </w:tbl>
    <w:p>
      <w:pPr>
        <w:spacing w:after="170" w:before="60"/>
        <w:jc w:val="center"/>
      </w:pPr>
      <w:r>
        <w:rPr>
          <w:rFonts w:ascii="SimHei" w:cs="SimHei" w:eastAsia="SimHei" w:hAnsi="SimHei"/>
          <w:b/>
          <w:bCs/>
          <w:sz w:val="16"/>
          <w:szCs w:val="16"/>
        </w:rPr>
        <w:t xml:space="preserve">表 4　组合评分的两个代表方案</w:t>
      </w:r>
    </w:p>
    <w:p>
      <w:pPr>
        <w:spacing w:after="100" w:line="340"/>
        <w:ind w:firstLine="440"/>
        <w:jc w:val="both"/>
      </w:pPr>
      <w:r>
        <w:rPr>
          <w:rFonts w:ascii="SimSun" w:cs="SimSun" w:eastAsia="SimSun" w:hAnsi="SimSun"/>
          <w:sz w:val="21"/>
          <w:szCs w:val="21"/>
        </w:rPr>
        <w:t xml:space="preserve">方案 A 的评分优势来自工业可行性（属工程属性）；方案 B 以 0.028 的评分代价换取一项真实的人群证据，三株均有临床先例。以预测减脂为目标时推荐方案 B。</w:t>
      </w:r>
    </w:p>
    <w:p>
      <w:pPr>
        <w:spacing w:after="45" w:before="140"/>
        <w:jc w:val="center"/>
      </w:pPr>
      <w:r>
        <w:drawing>
          <wp:inline distT="0" distB="0" distL="0" distR="0">
            <wp:extent cx="5619750" cy="4038600"/>
            <wp:effectExtent t="0" r="0" b="0" l="0"/>
            <wp:docPr id="1" name="fig26_foodgrade_v3.png" descr="图 2　v3 方法总览：(A) 评分构成；(B) 38 株的队列证据状况；(C) 推荐组合；(D) 被排除的 15 株及原因" title="图 2　v3 方法总览：(A) 评分构成；(B) 38 株的队列证据状况；(C) 推荐组合；(D) 被排除的 15 株及原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038600"/>
                    </a:xfrm>
                    <a:prstGeom prst="rect">
                      <a:avLst/>
                    </a:prstGeom>
                  </pic:spPr>
                </pic:pic>
              </a:graphicData>
            </a:graphic>
          </wp:inline>
        </w:drawing>
      </w:r>
    </w:p>
    <w:p>
      <w:pPr>
        <w:spacing w:after="180"/>
        <w:jc w:val="center"/>
      </w:pPr>
      <w:r>
        <w:rPr>
          <w:rFonts w:ascii="SimHei" w:cs="SimHei" w:eastAsia="SimHei" w:hAnsi="SimHei"/>
          <w:b/>
          <w:bCs/>
          <w:sz w:val="16"/>
          <w:szCs w:val="16"/>
        </w:rPr>
        <w:t xml:space="preserve">图 2　v3 方法总览：(A) 评分构成；(B) 38 株的队列证据状况；(C) 推荐组合；(D) 被排除的 15 株及原因</w:t>
      </w:r>
    </w:p>
    <w:p>
      <w:pPr>
        <w:pStyle w:val="Heading1"/>
        <w:spacing w:after="140" w:before="300"/>
      </w:pPr>
      <w:r>
        <w:rPr>
          <w:rFonts w:ascii="SimHei" w:cs="SimHei" w:eastAsia="SimHei" w:hAnsi="SimHei"/>
          <w:b/>
          <w:bCs/>
          <w:sz w:val="28"/>
          <w:szCs w:val="28"/>
        </w:rPr>
        <w:t xml:space="preserve">4　讨论</w:t>
      </w:r>
    </w:p>
    <w:p>
      <w:pPr>
        <w:spacing w:after="100" w:line="340"/>
        <w:ind w:firstLine="440"/>
        <w:jc w:val="both"/>
      </w:pPr>
      <w:r>
        <w:rPr>
          <w:rFonts w:ascii="SimSun" w:cs="SimSun" w:eastAsia="SimSun" w:hAnsi="SimSun"/>
          <w:sz w:val="21"/>
          <w:szCs w:val="21"/>
        </w:rPr>
        <w:t xml:space="preserve">本研究的核心判断是：</w:t>
      </w:r>
      <w:r>
        <w:rPr>
          <w:rFonts w:ascii="SimSun" w:cs="SimSun" w:eastAsia="SimSun" w:hAnsi="SimSun"/>
          <w:b/>
          <w:bCs/>
          <w:sz w:val="21"/>
          <w:szCs w:val="21"/>
        </w:rPr>
        <w:t xml:space="preserve">食源性益生菌需要与肠道常驻菌不同的评价逻辑</w:t>
      </w:r>
      <w:r>
        <w:rPr>
          <w:rFonts w:ascii="SimSun" w:cs="SimSun" w:eastAsia="SimSun" w:hAnsi="SimSun"/>
          <w:sz w:val="21"/>
          <w:szCs w:val="21"/>
        </w:rPr>
        <w:t xml:space="preserve">。常驻菌可以直接用人群队列的胖瘦差异丰度来定标，而食源菌多为过路菌，队列中往往不可见；若强行套用队列方法，结果不是「证据不足」而是「根本无法排序」。本文的解决方式是把从队列分析中</w:t>
      </w:r>
      <w:r>
        <w:rPr>
          <w:rFonts w:ascii="SimSun" w:cs="SimSun" w:eastAsia="SimSun" w:hAnsi="SimSun"/>
          <w:b/>
          <w:bCs/>
          <w:sz w:val="21"/>
          <w:szCs w:val="21"/>
        </w:rPr>
        <w:t xml:space="preserve">学到的判据</w:t>
      </w:r>
      <w:r>
        <w:rPr>
          <w:rFonts w:ascii="SimSun" w:cs="SimSun" w:eastAsia="SimSun" w:hAnsi="SimSun"/>
          <w:sz w:val="21"/>
          <w:szCs w:val="21"/>
        </w:rPr>
        <w:t xml:space="preserve">（协作型生态、口腔来源与糖降解的肥胖倾向）迁移为可对食源菌计算的性质维度，同时保留自下而上目录中的安全与临床信息。</w:t>
      </w:r>
    </w:p>
    <w:p>
      <w:pPr>
        <w:spacing w:after="100" w:line="340"/>
        <w:ind w:firstLine="440"/>
        <w:jc w:val="both"/>
      </w:pPr>
      <w:r>
        <w:rPr>
          <w:rFonts w:ascii="SimSun" w:cs="SimSun" w:eastAsia="SimSun" w:hAnsi="SimSun"/>
          <w:sz w:val="21"/>
          <w:szCs w:val="21"/>
        </w:rPr>
        <w:t xml:space="preserve">一个值得强调的结果是</w:t>
      </w:r>
      <w:r>
        <w:rPr>
          <w:rFonts w:ascii="SimSun" w:cs="SimSun" w:eastAsia="SimSun" w:hAnsi="SimSun"/>
          <w:b/>
          <w:bCs/>
          <w:sz w:val="21"/>
          <w:szCs w:val="21"/>
        </w:rPr>
        <w:t xml:space="preserve">性质分最高者并非推荐首选</w:t>
      </w:r>
      <w:r>
        <w:rPr>
          <w:rFonts w:ascii="SimSun" w:cs="SimSun" w:eastAsia="SimSun" w:hAnsi="SimSun"/>
          <w:sz w:val="21"/>
          <w:szCs w:val="21"/>
        </w:rPr>
        <w:t xml:space="preserve">。这一反差揭示了评分体系的一个内在张力：工业可行性等工程维度会系统性地抬高乳杆菌类的排名，而它们恰恰是队列证据最匮乏的类别；双歧杆菌工艺更难，却是唯一拥有人群证据的类别。本文的处理方式是保持评分透明、把队列证据独立成列，并在推荐意见中优先采纳有证据支撑者——而非通过调整权重把结论「做」出来。</w:t>
      </w:r>
    </w:p>
    <w:p>
      <w:pPr>
        <w:spacing w:after="100" w:line="340"/>
        <w:ind w:firstLine="440"/>
        <w:jc w:val="both"/>
      </w:pPr>
      <w:r>
        <w:rPr>
          <w:rFonts w:ascii="SimSun" w:cs="SimSun" w:eastAsia="SimSun" w:hAnsi="SimSun"/>
          <w:sz w:val="21"/>
          <w:szCs w:val="21"/>
        </w:rPr>
        <w:t xml:space="preserve">另一个具有直接产业含义的发现是</w:t>
      </w:r>
      <w:r>
        <w:rPr>
          <w:rFonts w:ascii="SimSun" w:cs="SimSun" w:eastAsia="SimSun" w:hAnsi="SimSun"/>
          <w:b/>
          <w:bCs/>
          <w:sz w:val="21"/>
          <w:szCs w:val="21"/>
        </w:rPr>
        <w:t xml:space="preserve">四株常用商业双歧杆菌在北美队列显著肥胖富集</w:t>
      </w:r>
      <w:r>
        <w:rPr>
          <w:rFonts w:ascii="SimSun" w:cs="SimSun" w:eastAsia="SimSun" w:hAnsi="SimSun"/>
          <w:sz w:val="21"/>
          <w:szCs w:val="21"/>
        </w:rPr>
        <w:t xml:space="preserve">。结合前期跨地区分析中同属菌在西欧、中东方向相反的观察，合理解释是这类菌的胖瘦关联具有强地区依赖性，可能与人群年龄结构、饮食模式与基线菌群构成有关。因此，全球统一配方在部分市场可能失效甚至方向相反，地区化配方策略更为稳妥。</w:t>
      </w:r>
    </w:p>
    <w:p>
      <w:pPr>
        <w:spacing w:after="100" w:line="340"/>
        <w:ind w:firstLine="440"/>
        <w:jc w:val="both"/>
      </w:pPr>
      <w:r>
        <w:rPr>
          <w:rFonts w:ascii="SimSun" w:cs="SimSun" w:eastAsia="SimSun" w:hAnsi="SimSun"/>
          <w:sz w:val="21"/>
          <w:szCs w:val="21"/>
        </w:rPr>
        <w:t xml:space="preserve">最后需要正视方法本身的证据层级。相比针对常驻菌的方法（其最大权重维度具备队列验证支撑），本方法权重最大的两个维度——交叉喂养 0.22 与工业可行性 0.14——分别是机制假设与工程先验，均未针对减脂结局验证。因此本排序应被理解为</w:t>
      </w:r>
      <w:r>
        <w:rPr>
          <w:rFonts w:ascii="SimSun" w:cs="SimSun" w:eastAsia="SimSun" w:hAnsi="SimSun"/>
          <w:b/>
          <w:bCs/>
          <w:sz w:val="21"/>
          <w:szCs w:val="21"/>
        </w:rPr>
        <w:t xml:space="preserve">候选定标与优先级工具</w:t>
      </w:r>
      <w:r>
        <w:rPr>
          <w:rFonts w:ascii="SimSun" w:cs="SimSun" w:eastAsia="SimSun" w:hAnsi="SimSun"/>
          <w:sz w:val="21"/>
          <w:szCs w:val="21"/>
        </w:rPr>
        <w:t xml:space="preserve">，而非疗效预测。</w:t>
      </w:r>
    </w:p>
    <w:p>
      <w:pPr>
        <w:pStyle w:val="Heading1"/>
        <w:spacing w:after="140" w:before="300"/>
      </w:pPr>
      <w:r>
        <w:rPr>
          <w:rFonts w:ascii="SimHei" w:cs="SimHei" w:eastAsia="SimHei" w:hAnsi="SimHei"/>
          <w:b/>
          <w:bCs/>
          <w:sz w:val="28"/>
          <w:szCs w:val="28"/>
        </w:rPr>
        <w:t xml:space="preserve">5　结论</w:t>
      </w:r>
    </w:p>
    <w:p>
      <w:pPr>
        <w:pStyle w:val="ListParagraph"/>
        <w:numPr>
          <w:ilvl w:val="0"/>
          <w:numId w:val="2"/>
        </w:numPr>
        <w:spacing w:after="60" w:line="330"/>
      </w:pPr>
      <w:r>
        <w:rPr>
          <w:rFonts w:ascii="SimSun" w:cs="SimSun" w:eastAsia="SimSun" w:hAnsi="SimSun"/>
          <w:sz w:val="21"/>
          <w:szCs w:val="21"/>
        </w:rPr>
        <w:t xml:space="preserve">对 38 株食源性益生菌建立了不依赖肠道队列丰度的六维评分体系，形成 10 个分数档的完整排序。</w:t>
      </w:r>
    </w:p>
    <w:p>
      <w:pPr>
        <w:pStyle w:val="ListParagraph"/>
        <w:numPr>
          <w:ilvl w:val="0"/>
          <w:numId w:val="2"/>
        </w:numPr>
        <w:spacing w:after="60" w:line="330"/>
      </w:pPr>
      <w:r>
        <w:rPr>
          <w:rFonts w:ascii="SimSun" w:cs="SimSun" w:eastAsia="SimSun" w:hAnsi="SimSun"/>
          <w:sz w:val="21"/>
          <w:szCs w:val="21"/>
        </w:rPr>
        <w:t xml:space="preserve">以减脂效果预测为目标时，首选为动物双歧杆菌与长双歧杆菌——二者是唯一同时具备性质优、临床先例与队列支持三重条件者；其评分劣势仅源于工业可行性与 BSH 强度，而非证据强度。</w:t>
      </w:r>
    </w:p>
    <w:p>
      <w:pPr>
        <w:pStyle w:val="ListParagraph"/>
        <w:numPr>
          <w:ilvl w:val="0"/>
          <w:numId w:val="2"/>
        </w:numPr>
        <w:spacing w:after="60" w:line="330"/>
      </w:pPr>
      <w:r>
        <w:rPr>
          <w:rFonts w:ascii="SimSun" w:cs="SimSun" w:eastAsia="SimSun" w:hAnsi="SimSun"/>
          <w:sz w:val="21"/>
          <w:szCs w:val="21"/>
        </w:rPr>
        <w:t xml:space="preserve">副干酪乳酪杆菌与植物乳植杆菌性质分最高，可作为工艺优先方案，但需补充人群菌群关联或小样本试验以填补队列证据空缺。</w:t>
      </w:r>
    </w:p>
    <w:p>
      <w:pPr>
        <w:pStyle w:val="ListParagraph"/>
        <w:numPr>
          <w:ilvl w:val="0"/>
          <w:numId w:val="2"/>
        </w:numPr>
        <w:spacing w:after="60" w:line="330"/>
      </w:pPr>
      <w:r>
        <w:rPr>
          <w:rFonts w:ascii="SimSun" w:cs="SimSun" w:eastAsia="SimSun" w:hAnsi="SimSun"/>
          <w:sz w:val="21"/>
          <w:szCs w:val="21"/>
        </w:rPr>
        <w:t xml:space="preserve">链状双歧杆菌拥有全部食源菌中最强的队列信号（中东倍数变化 0.48），应列为需补临床验证的高潜力候选。</w:t>
      </w:r>
    </w:p>
    <w:p>
      <w:pPr>
        <w:pStyle w:val="ListParagraph"/>
        <w:numPr>
          <w:ilvl w:val="0"/>
          <w:numId w:val="2"/>
        </w:numPr>
        <w:spacing w:after="60" w:line="330"/>
      </w:pPr>
      <w:r>
        <w:rPr>
          <w:rFonts w:ascii="SimSun" w:cs="SimSun" w:eastAsia="SimSun" w:hAnsi="SimSun"/>
          <w:sz w:val="21"/>
          <w:szCs w:val="21"/>
        </w:rPr>
        <w:t xml:space="preserve">短、青春、两歧、假链状双歧杆菌在北美队列显著肥胖富集（倍数变化 3.15–7.39），该市场应慎用；此类关联具有地区特异性，支持地区化配方策略。</w:t>
      </w:r>
    </w:p>
    <w:p>
      <w:pPr>
        <w:pStyle w:val="ListParagraph"/>
        <w:numPr>
          <w:ilvl w:val="0"/>
          <w:numId w:val="2"/>
        </w:numPr>
        <w:spacing w:after="60" w:line="330"/>
      </w:pPr>
      <w:r>
        <w:rPr>
          <w:rFonts w:ascii="SimSun" w:cs="SimSun" w:eastAsia="SimSun" w:hAnsi="SimSun"/>
          <w:sz w:val="21"/>
          <w:szCs w:val="21"/>
        </w:rPr>
        <w:t xml:space="preserve">链球菌属 11 株因属内含病原种而不予推荐，原因在安全而非减脂性质。</w:t>
      </w:r>
    </w:p>
    <w:p>
      <w:pPr>
        <w:pStyle w:val="Heading1"/>
        <w:spacing w:after="140" w:before="300"/>
      </w:pPr>
      <w:r>
        <w:rPr>
          <w:rFonts w:ascii="SimHei" w:cs="SimHei" w:eastAsia="SimHei" w:hAnsi="SimHei"/>
          <w:b/>
          <w:bCs/>
          <w:sz w:val="28"/>
          <w:szCs w:val="28"/>
        </w:rPr>
        <w:t xml:space="preserve">6　局限性</w:t>
      </w:r>
    </w:p>
    <w:p>
      <w:pPr>
        <w:pStyle w:val="ListParagraph"/>
        <w:numPr>
          <w:ilvl w:val="0"/>
          <w:numId w:val="3"/>
        </w:numPr>
        <w:spacing w:after="60" w:line="330"/>
      </w:pPr>
      <w:r>
        <w:rPr>
          <w:rFonts w:ascii="SimSun" w:cs="SimSun" w:eastAsia="SimSun" w:hAnsi="SimSun"/>
          <w:sz w:val="21"/>
          <w:szCs w:val="21"/>
        </w:rPr>
        <w:t xml:space="preserve">最主要局限是属级注释造成大规模并列：9 株乳杆菌性质分完全相同（0.7615），11 株链球菌完全相同（0.3125），方法无法在属内区分菌株。真正的菌株级排序须补充实际 BSH 酶活、产酸量与速率、耐胆盐与耐酸性、黏附能力等表型数据以及菌株级基因组注释。</w:t>
      </w:r>
    </w:p>
    <w:p>
      <w:pPr>
        <w:pStyle w:val="ListParagraph"/>
        <w:numPr>
          <w:ilvl w:val="0"/>
          <w:numId w:val="3"/>
        </w:numPr>
        <w:spacing w:after="60" w:line="330"/>
      </w:pPr>
      <w:r>
        <w:rPr>
          <w:rFonts w:ascii="SimSun" w:cs="SimSun" w:eastAsia="SimSun" w:hAnsi="SimSun"/>
          <w:sz w:val="21"/>
          <w:szCs w:val="21"/>
        </w:rPr>
        <w:t xml:space="preserve">权重最大的两个维度证据最弱：交叉喂养（0.22）为机制假设，工业可行性（0.14）为工程先验，均未针对减脂结局验证；本方法的整体证据强度弱于针对常驻菌的方法。</w:t>
      </w:r>
    </w:p>
    <w:p>
      <w:pPr>
        <w:pStyle w:val="ListParagraph"/>
        <w:numPr>
          <w:ilvl w:val="0"/>
          <w:numId w:val="3"/>
        </w:numPr>
        <w:spacing w:after="60" w:line="330"/>
      </w:pPr>
      <w:r>
        <w:rPr>
          <w:rFonts w:ascii="SimSun" w:cs="SimSun" w:eastAsia="SimSun" w:hAnsi="SimSun"/>
          <w:sz w:val="21"/>
          <w:szCs w:val="21"/>
        </w:rPr>
        <w:t xml:space="preserve">BSH 权重（0.15）来自既有文献而非本项目数据——本项目可关联干预菌种的血脂结局仅 6 行，不足以检验 BSH 与降胆固醇的关系。</w:t>
      </w:r>
    </w:p>
    <w:p>
      <w:pPr>
        <w:pStyle w:val="ListParagraph"/>
        <w:numPr>
          <w:ilvl w:val="0"/>
          <w:numId w:val="3"/>
        </w:numPr>
        <w:spacing w:after="60" w:line="330"/>
      </w:pPr>
      <w:r>
        <w:rPr>
          <w:rFonts w:ascii="SimSun" w:cs="SimSun" w:eastAsia="SimSun" w:hAnsi="SimSun"/>
          <w:sz w:val="21"/>
          <w:szCs w:val="21"/>
        </w:rPr>
        <w:t xml:space="preserve">交叉喂养假设需体外验证：应通过共培养实验证明该食源菌确能提升常驻丁酸/丙酸产生菌的产酸量。</w:t>
      </w:r>
    </w:p>
    <w:p>
      <w:pPr>
        <w:pStyle w:val="ListParagraph"/>
        <w:numPr>
          <w:ilvl w:val="0"/>
          <w:numId w:val="3"/>
        </w:numPr>
        <w:spacing w:after="60" w:line="330"/>
      </w:pPr>
      <w:r>
        <w:rPr>
          <w:rFonts w:ascii="SimSun" w:cs="SimSun" w:eastAsia="SimSun" w:hAnsi="SimSun"/>
          <w:sz w:val="21"/>
          <w:szCs w:val="21"/>
        </w:rPr>
        <w:t xml:space="preserve">队列证据存在地区异质性：同一菌属在不同地区方向可相反，故队列支持标签不可全球通用。</w:t>
      </w:r>
    </w:p>
    <w:p>
      <w:pPr>
        <w:pStyle w:val="ListParagraph"/>
        <w:numPr>
          <w:ilvl w:val="0"/>
          <w:numId w:val="3"/>
        </w:numPr>
        <w:spacing w:after="60" w:line="330"/>
      </w:pPr>
      <w:r>
        <w:rPr>
          <w:rFonts w:ascii="SimSun" w:cs="SimSun" w:eastAsia="SimSun" w:hAnsi="SimSun"/>
          <w:sz w:val="21"/>
          <w:szCs w:val="21"/>
        </w:rPr>
        <w:t xml:space="preserve">本排序为候选定标而非疗效预测，不能据此断言某菌可减脂或减重幅度；落地须经体外功能验证、动物模型与人体随机对照试验。</w:t>
      </w:r>
    </w:p>
    <w:p>
      <w:pPr>
        <w:pStyle w:val="Heading1"/>
        <w:spacing w:after="140" w:before="300"/>
      </w:pPr>
      <w:r>
        <w:rPr>
          <w:rFonts w:ascii="SimHei" w:cs="SimHei" w:eastAsia="SimHei" w:hAnsi="SimHei"/>
          <w:b/>
          <w:bCs/>
          <w:sz w:val="28"/>
          <w:szCs w:val="28"/>
        </w:rPr>
        <w:t xml:space="preserve">7　行动建议</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70"/>
      </w:tblGrid>
      <w:tr>
        <w:trPr>
          <w:tblHeader/>
        </w:trPr>
        <w:tc>
          <w:tcPr>
            <w:tcW w:type="dxa" w:w="90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left"/>
            </w:pPr>
            <w:r>
              <w:rPr>
                <w:rFonts w:ascii="SimSun" w:cs="SimSun" w:eastAsia="SimSun" w:hAnsi="SimSun"/>
                <w:b/>
                <w:bCs/>
                <w:sz w:val="15"/>
                <w:szCs w:val="15"/>
              </w:rPr>
              <w:t xml:space="preserve">优先级</w:t>
            </w:r>
          </w:p>
        </w:tc>
        <w:tc>
          <w:tcPr>
            <w:tcW w:type="dxa" w:w="290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菌株</w:t>
            </w:r>
          </w:p>
        </w:tc>
        <w:tc>
          <w:tcPr>
            <w:tcW w:type="dxa" w:w="5270"/>
            <w:tcBorders>
              <w:top w:val="single" w:color="BBBBBB" w:sz="1"/>
              <w:left w:val="single" w:color="BBBBBB" w:sz="1"/>
              <w:bottom w:val="single" w:color="BBBBBB" w:sz="1"/>
              <w:right w:val="single" w:color="BBBBBB" w:sz="1"/>
            </w:tcBorders>
            <w:shd w:fill="D9E2F0" w:val="clear"/>
            <w:tcMar>
              <w:top w:type="dxa" w:w="44"/>
              <w:left w:type="dxa" w:w="66"/>
              <w:bottom w:type="dxa" w:w="44"/>
              <w:right w:type="dxa" w:w="66"/>
            </w:tcMar>
          </w:tcPr>
          <w:p>
            <w:pPr>
              <w:jc w:val="center"/>
            </w:pPr>
            <w:r>
              <w:rPr>
                <w:rFonts w:ascii="SimSun" w:cs="SimSun" w:eastAsia="SimSun" w:hAnsi="SimSun"/>
                <w:b/>
                <w:bCs/>
                <w:sz w:val="15"/>
                <w:szCs w:val="15"/>
              </w:rPr>
              <w:t xml:space="preserve">下一步</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1</w:t>
            </w:r>
          </w:p>
        </w:tc>
        <w:tc>
          <w:tcPr>
            <w:tcW w:type="dxa" w:w="2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动物双歧杆菌、长双歧杆菌</w:t>
            </w:r>
          </w:p>
        </w:tc>
        <w:tc>
          <w:tcPr>
            <w:tcW w:type="dxa" w:w="52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直接进入体外与动物减脂验证（性质、临床、队列三重支持齐备）</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2</w:t>
            </w:r>
          </w:p>
        </w:tc>
        <w:tc>
          <w:tcPr>
            <w:tcW w:type="dxa" w:w="2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副干酪乳酪杆菌、植物乳植杆菌</w:t>
            </w:r>
          </w:p>
        </w:tc>
        <w:tc>
          <w:tcPr>
            <w:tcW w:type="dxa" w:w="52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补做人群菌群关联或小样本随机对照试验，填补队列证据空缺</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3</w:t>
            </w:r>
          </w:p>
        </w:tc>
        <w:tc>
          <w:tcPr>
            <w:tcW w:type="dxa" w:w="2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链状双歧杆菌</w:t>
            </w:r>
          </w:p>
        </w:tc>
        <w:tc>
          <w:tcPr>
            <w:tcW w:type="dxa" w:w="52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补临床先例；其队列信号为食源菌中最强</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4</w:t>
            </w:r>
          </w:p>
        </w:tc>
        <w:tc>
          <w:tcPr>
            <w:tcW w:type="dxa" w:w="2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9 株乳杆菌（同分组 3）</w:t>
            </w:r>
          </w:p>
        </w:tc>
        <w:tc>
          <w:tcPr>
            <w:tcW w:type="dxa" w:w="52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先做菌株级表型测定破除并列，再行排序</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w:t>
            </w:r>
          </w:p>
        </w:tc>
        <w:tc>
          <w:tcPr>
            <w:tcW w:type="dxa" w:w="2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4 株北美反证双歧杆菌</w:t>
            </w:r>
          </w:p>
        </w:tc>
        <w:tc>
          <w:tcPr>
            <w:tcW w:type="dxa" w:w="52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该市场慎用；如需使用先做人群验证</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left"/>
            </w:pPr>
            <w:r>
              <w:rPr>
                <w:rFonts w:ascii="SimSun" w:cs="SimSun" w:eastAsia="SimSun" w:hAnsi="SimSun"/>
                <w:b w:val="false"/>
                <w:bCs w:val="false"/>
                <w:sz w:val="15"/>
                <w:szCs w:val="15"/>
              </w:rPr>
              <w:t xml:space="preserve">—</w:t>
            </w:r>
          </w:p>
        </w:tc>
        <w:tc>
          <w:tcPr>
            <w:tcW w:type="dxa" w:w="290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链球菌属 11 株</w:t>
            </w:r>
          </w:p>
        </w:tc>
        <w:tc>
          <w:tcPr>
            <w:tcW w:type="dxa" w:w="5270"/>
            <w:tcBorders>
              <w:top w:val="single" w:color="BBBBBB" w:sz="1"/>
              <w:left w:val="single" w:color="BBBBBB" w:sz="1"/>
              <w:bottom w:val="single" w:color="BBBBBB" w:sz="1"/>
              <w:right w:val="single" w:color="BBBBBB" w:sz="1"/>
            </w:tcBorders>
            <w:shd w:fill="FFFFFF" w:val="clear"/>
            <w:tcMar>
              <w:top w:type="dxa" w:w="44"/>
              <w:left w:type="dxa" w:w="66"/>
              <w:bottom w:type="dxa" w:w="44"/>
              <w:right w:type="dxa" w:w="66"/>
            </w:tcMar>
          </w:tcPr>
          <w:p>
            <w:pPr>
              <w:jc w:val="center"/>
            </w:pPr>
            <w:r>
              <w:rPr>
                <w:rFonts w:ascii="SimSun" w:cs="SimSun" w:eastAsia="SimSun" w:hAnsi="SimSun"/>
                <w:b w:val="false"/>
                <w:bCs w:val="false"/>
                <w:sz w:val="15"/>
                <w:szCs w:val="15"/>
              </w:rPr>
              <w:t xml:space="preserve">除已通过菌株级安全评估者外，不进入减脂配方</w:t>
            </w:r>
          </w:p>
        </w:tc>
      </w:tr>
    </w:tbl>
    <w:p>
      <w:pPr>
        <w:spacing w:after="170" w:before="60"/>
        <w:jc w:val="center"/>
      </w:pPr>
      <w:r>
        <w:rPr>
          <w:rFonts w:ascii="SimHei" w:cs="SimHei" w:eastAsia="SimHei" w:hAnsi="SimHei"/>
          <w:b/>
          <w:bCs/>
          <w:sz w:val="16"/>
          <w:szCs w:val="16"/>
        </w:rPr>
        <w:t xml:space="preserve">表 5　按优先级的后续行动建议</w:t>
      </w:r>
    </w:p>
    <w:p>
      <w:pPr>
        <w:pStyle w:val="Heading1"/>
        <w:spacing w:after="140" w:before="300"/>
      </w:pPr>
      <w:r>
        <w:rPr>
          <w:rFonts w:ascii="SimHei" w:cs="SimHei" w:eastAsia="SimHei" w:hAnsi="SimHei"/>
          <w:b/>
          <w:bCs/>
          <w:sz w:val="28"/>
          <w:szCs w:val="28"/>
        </w:rPr>
        <w:t xml:space="preserve">8　数据与代码可用性</w:t>
      </w:r>
    </w:p>
    <w:p>
      <w:pPr>
        <w:spacing w:after="100" w:line="340"/>
        <w:jc w:val="both"/>
      </w:pPr>
      <w:r>
        <w:rPr>
          <w:rFonts w:ascii="SimSun" w:cs="SimSun" w:eastAsia="SimSun" w:hAnsi="SimSun"/>
          <w:sz w:val="21"/>
          <w:szCs w:val="21"/>
        </w:rPr>
        <w:t xml:space="preserve">评分与排序脚本：scripts/combination_recommendation/foodgrade_prediction_v3.py（六维评分与组合打分）、foodgrade_single_strain_ranking.py（两级排序与推荐意见）；作图脚本：scripts/visualization/foodgrade_ranking_figure.py。结果数据：results/combination_recommendations/ 下 foodgrade_v3_strain_scores、foodgrade_single_strain_ranking、foodgrade_v3_combinations 三个系列文件。配套数据表：食源性益生菌预测_完整数据_20260625.xlsx。</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 </w:t>
    </w:r>
    <w:r>
      <w:rPr>
        <w:rFonts w:ascii="SimSun" w:cs="SimSun" w:eastAsia="SimSun" w:hAnsi="SimSun"/>
        <w:sz w:val="18"/>
        <w:szCs w:val="18"/>
      </w:rPr>
      <w:fldChar w:fldCharType="begin"/>
      <w:instrText xml:space="preserve">PAGE</w:instrText>
      <w:fldChar w:fldCharType="separate"/>
      <w:fldChar w:fldCharType="end"/>
    </w:r>
    <w:r>
      <w:rPr>
        <w:rFonts w:ascii="SimSun" w:cs="SimSun" w:eastAsia="SimSun" w:hAnsi="SimSu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40"/>
      </w:pPr>
    </w:lvl>
  </w:abstractNum>
  <w:abstractNum w:abstractNumId="3" w15:restartNumberingAfterBreak="0">
    <w:multiLevelType w:val="hybridMultilevel"/>
    <w:lvl w:ilvl="0" w15:tentative="1">
      <w:start w:val="1"/>
      <w:numFmt w:val="decimal"/>
      <w:lvlText w:val="%1."/>
      <w:lvlJc w:val="left"/>
      <w:pPr>
        <w:ind w:left="5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SimHei" w:cs="SimHei" w:eastAsia="SimHei" w:hAnsi="SimHei"/>
      <w:b/>
      <w:bCs/>
      <w:sz w:val="28"/>
      <w:szCs w:val="28"/>
    </w:rPr>
  </w:style>
  <w:style w:type="paragraph" w:styleId="Heading2">
    <w:name w:val="Heading 2"/>
    <w:basedOn w:val="Normal"/>
    <w:next w:val="Normal"/>
    <w:qFormat/>
    <w:pPr>
      <w:spacing w:after="100" w:before="190"/>
      <w:outlineLvl w:val="1"/>
    </w:pPr>
    <w:rPr>
      <w:rFonts w:ascii="SimHei" w:cs="SimHei" w:eastAsia="SimHei" w:hAnsi="SimHe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c999713989bb1d080361ed6f11bfb7783f4d884.png"/><Relationship Id="rId9" Type="http://schemas.openxmlformats.org/officeDocument/2006/relationships/image" Target="media/06174b49223663e4235da1251d42f09e71b51a2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2026-07-30T10:58:20.050Z</dcterms:created>
  <dcterms:modified xsi:type="dcterms:W3CDTF">2026-07-30T10:58:20.051Z</dcterms:modified>
</cp:coreProperties>
</file>

<file path=docProps/custom.xml><?xml version="1.0" encoding="utf-8"?>
<Properties xmlns="http://schemas.openxmlformats.org/officeDocument/2006/custom-properties" xmlns:vt="http://schemas.openxmlformats.org/officeDocument/2006/docPropsVTypes"/>
</file>