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520"/>
        <w:jc w:val="center"/>
      </w:pPr>
      <w:r>
        <w:rPr>
          <w:rFonts w:ascii="SimHei" w:cs="SimHei" w:eastAsia="SimHei" w:hAnsi="SimHei"/>
          <w:b/>
          <w:bCs/>
          <w:sz w:val="38"/>
          <w:szCs w:val="38"/>
        </w:rPr>
        <w:t xml:space="preserve">西欧健康人群肠道菌群胖瘦差异分析</w:t>
      </w:r>
    </w:p>
    <w:p>
      <w:pPr>
        <w:spacing w:after="70"/>
        <w:jc w:val="center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排除 2 型糖尿病 · 研究内年龄性别匹配 · 随机效应 meta 验证</w:t>
      </w:r>
    </w:p>
    <w:p>
      <w:pPr>
        <w:spacing w:after="32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ProSlim-Microbiome-AI 项目组　2026 年 6 月 25 日</w:t>
      </w:r>
    </w:p>
    <w:p>
      <w:pPr>
        <w:spacing w:after="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摘要</w:t>
      </w:r>
    </w:p>
    <w:p>
      <w:pPr>
        <w:spacing w:after="11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目的：</w:t>
      </w:r>
      <w:r>
        <w:rPr>
          <w:rFonts w:ascii="SimSun" w:cs="SimSun" w:eastAsia="SimSun" w:hAnsi="SimSun"/>
          <w:sz w:val="21"/>
          <w:szCs w:val="21"/>
        </w:rPr>
        <w:t xml:space="preserve">明确西欧无疾病人群中，肥胖相关的肠道菌群差异是否独立于年龄与性别混杂。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方法：</w:t>
      </w:r>
      <w:r>
        <w:rPr>
          <w:rFonts w:ascii="SimSun" w:cs="SimSun" w:eastAsia="SimSun" w:hAnsi="SimSun"/>
          <w:sz w:val="21"/>
          <w:szCs w:val="21"/>
        </w:rPr>
        <w:t xml:space="preserve">自 8 304 例公开宏基因组样本逐级筛选，排除 2 型糖尿病、糖耐量异常与高血压，最终纳入 7 项鸟枪法测序研究（DNK/GBR/IRL/NLD），共 1380 例瘦人与 628 例肥胖者。采用研究内 1:1 年龄（±5 岁）性别匹配（n=904）并在回归中再次校正，对 199 个物种行 OLS 差异分析（BH-FDR），以随机效应 meta 分析交叉验证，并用随机森林留一研究交叉验证。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结果：</w:t>
      </w:r>
      <w:r>
        <w:rPr>
          <w:rFonts w:ascii="SimSun" w:cs="SimSun" w:eastAsia="SimSun" w:hAnsi="SimSun"/>
          <w:sz w:val="21"/>
          <w:szCs w:val="21"/>
        </w:rPr>
        <w:t xml:space="preserve">匹配后仅年龄性别模型 AUC 降至 0.527（≈随机），而菌群模型仍达 0.749。共 41 个物种 FDR&lt;0.05，其中 37 个通过 meta 验证。产甲烷古菌 Methanobrevibacter smithii 为最稳健瘦人标志（I²=0%），Ruminococcus gnavus 在肥胖者中丰度翻倍（2.05 倍）。丁酸产生菌呈现种间分化：Butyrivibrio crossotus 与 Eubacterium eligens 富集于瘦人，而 Roseburia intestinalis 与 Eubacterium rectale 富集于肥胖。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结论：</w:t>
      </w:r>
      <w:r>
        <w:rPr>
          <w:rFonts w:ascii="SimSun" w:cs="SimSun" w:eastAsia="SimSun" w:hAnsi="SimSun"/>
          <w:sz w:val="21"/>
          <w:szCs w:val="21"/>
        </w:rPr>
        <w:t xml:space="preserve">严格校正后菌群差异为独立生物学信号；菌株组合设计必须采用种级而非属级分辨率。</w:t>
      </w:r>
    </w:p>
    <w:p>
      <w:pPr>
        <w:spacing w:after="200" w:before="110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关键词：</w:t>
      </w:r>
      <w:r>
        <w:rPr>
          <w:rFonts w:ascii="SimSun" w:cs="SimSun" w:eastAsia="SimSun" w:hAnsi="SimSun"/>
          <w:sz w:val="19"/>
          <w:szCs w:val="19"/>
        </w:rPr>
        <w:t xml:space="preserve">肠道菌群；肥胖；西欧队列；倾向匹配；随机效应 meta 分析；机器学习</w:t>
      </w:r>
    </w:p>
    <w:p>
      <w:pPr>
        <w:pStyle w:val="Heading1"/>
        <w:spacing w:after="150" w:before="300"/>
      </w:pPr>
      <w:r>
        <w:rPr>
          <w:rFonts w:ascii="SimHei" w:cs="SimHei" w:eastAsia="SimHei" w:hAnsi="SimHei"/>
          <w:b/>
          <w:bCs/>
          <w:sz w:val="29"/>
          <w:szCs w:val="29"/>
        </w:rPr>
        <w:t xml:space="preserve">1  方法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 队列构建与纳入排除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自公开宏基因组队列体系出发，逐级应用纳入排除标准（表 1）。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关键排除</w:t>
      </w:r>
      <w:r>
        <w:rPr>
          <w:rFonts w:ascii="SimSun" w:cs="SimSun" w:eastAsia="SimSun" w:hAnsi="SimSun"/>
          <w:sz w:val="21"/>
          <w:szCs w:val="21"/>
        </w:rPr>
        <w:t xml:space="preserve">：所有 2 型糖尿病（T2D）、糖耐量异常（IGT）与高血压受试者，以确保观察到的差异归因于肥胖本身而非代谢疾病。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筛选步骤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剩余样本量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原始样本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8304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西欧国家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4869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无疾病(排除T2D/IGT/高血压)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4151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瘦或肥胖(排除超重)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2973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年龄性别完整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2839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研究内两组各≥10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2049</w:t>
            </w:r>
          </w:p>
        </w:tc>
      </w:tr>
    </w:tbl>
    <w:p>
      <w:pPr>
        <w:spacing w:after="180" w:before="70"/>
        <w:jc w:val="center"/>
      </w:pPr>
      <w:r>
        <w:rPr>
          <w:rFonts w:ascii="SimHei" w:cs="SimHei" w:eastAsia="SimHei" w:hAnsi="SimHei"/>
          <w:b/>
          <w:bCs/>
          <w:sz w:val="17"/>
          <w:szCs w:val="17"/>
        </w:rPr>
        <w:t xml:space="preserve">表 1  队列筛选流程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纳入标准</w:t>
      </w:r>
      <w:r>
        <w:rPr>
          <w:rFonts w:ascii="SimSun" w:cs="SimSun" w:eastAsia="SimSun" w:hAnsi="SimSun"/>
          <w:sz w:val="21"/>
          <w:szCs w:val="21"/>
        </w:rPr>
        <w:t xml:space="preserve">：① 西欧国家；② 无疾病（disease_status = healthy）；③ 明确的瘦或肥胖表型（排除超重中间态）；④ 年龄与性别记录完整；⑤ 该研究内两组各不少于 10 例。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 合格数据队列来源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最终纳入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7 项独立研究</w:t>
      </w:r>
      <w:r>
        <w:rPr>
          <w:rFonts w:ascii="SimSun" w:cs="SimSun" w:eastAsia="SimSun" w:hAnsi="SimSun"/>
          <w:sz w:val="21"/>
          <w:szCs w:val="21"/>
        </w:rPr>
        <w:t xml:space="preserve">，覆盖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4 个国家（DNK/GBR/IRL/NLD）</w:t>
      </w:r>
      <w:r>
        <w:rPr>
          <w:rFonts w:ascii="SimSun" w:cs="SimSun" w:eastAsia="SimSun" w:hAnsi="SimSun"/>
          <w:sz w:val="21"/>
          <w:szCs w:val="21"/>
        </w:rPr>
        <w:t xml:space="preserve">，全部为鸟枪法宏基因组测序（表 2）。原始队列中肥胖组年龄普遍高于瘦人组，故年龄校正为必需。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700"/>
        <w:gridCol w:w="760"/>
        <w:gridCol w:w="1400"/>
        <w:gridCol w:w="1500"/>
        <w:gridCol w:w="186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研究队列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国家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瘦(n)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肥胖(n)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年龄瘦/胖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女性比瘦/胖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BMI瘦/胖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AsnicarF_2021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GBR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538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144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42.7/49.2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0.77/0.74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22.2/34.9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LifeLinesDeep_2016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NLD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610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136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42.0/49.7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0.63/0.68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22.3/33.4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NielsenHB_2014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DNK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56.5/56.1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0.58/0.49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22.5/33.6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LeChatelierE_2013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DNK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56.2/55.7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0.62/0.52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22.5/33.7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HansenLBS_2018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DNK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53.4/52.7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0.88/0.49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23.0/32.1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KeohaneDM_2020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IRL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27.8/44.5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0.56/0.58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22.6/35.0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XieH_2016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GBR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60.3/59.4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1.0/1.0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22.1/33.4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合计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1380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628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80" w:before="70"/>
        <w:jc w:val="center"/>
      </w:pPr>
      <w:r>
        <w:rPr>
          <w:rFonts w:ascii="SimHei" w:cs="SimHei" w:eastAsia="SimHei" w:hAnsi="SimHei"/>
          <w:b/>
          <w:bCs/>
          <w:sz w:val="17"/>
          <w:szCs w:val="17"/>
        </w:rPr>
        <w:t xml:space="preserve">表 2  合格数据队列来源与人口学特征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  年龄性别校正（双重独立处理）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（1）研究内 1:1 匹配。</w:t>
      </w:r>
      <w:r>
        <w:rPr>
          <w:rFonts w:ascii="SimSun" w:cs="SimSun" w:eastAsia="SimSun" w:hAnsi="SimSun"/>
          <w:sz w:val="21"/>
          <w:szCs w:val="21"/>
        </w:rPr>
        <w:t xml:space="preserve">对每例肥胖受试者，在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同一研究内</w:t>
      </w:r>
      <w:r>
        <w:rPr>
          <w:rFonts w:ascii="SimSun" w:cs="SimSun" w:eastAsia="SimSun" w:hAnsi="SimSun"/>
          <w:sz w:val="21"/>
          <w:szCs w:val="21"/>
        </w:rPr>
        <w:t xml:space="preserve">匹配同性别、年龄差不超过 5 岁的瘦人（最近邻，无放回抽样）。匹配后样本量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n=904（瘦 452 / 肥胖 452）</w:t>
      </w:r>
      <w:r>
        <w:rPr>
          <w:rFonts w:ascii="SimSun" w:cs="SimSun" w:eastAsia="SimSun" w:hAnsi="SimSun"/>
          <w:sz w:val="21"/>
          <w:szCs w:val="21"/>
        </w:rPr>
        <w:t xml:space="preserve">，两组平均年龄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51.2 岁与 51.4 岁</w:t>
      </w:r>
      <w:r>
        <w:rPr>
          <w:rFonts w:ascii="SimSun" w:cs="SimSun" w:eastAsia="SimSun" w:hAnsi="SimSun"/>
          <w:sz w:val="21"/>
          <w:szCs w:val="21"/>
        </w:rPr>
        <w:t xml:space="preserve">，女性比例均为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0.7</w:t>
      </w:r>
      <w:r>
        <w:rPr>
          <w:rFonts w:ascii="SimSun" w:cs="SimSun" w:eastAsia="SimSun" w:hAnsi="SimSun"/>
          <w:sz w:val="21"/>
          <w:szCs w:val="21"/>
        </w:rPr>
        <w:t xml:space="preserve">，达到完全平衡。研究内匹配的额外优势在于同时消除测序中心与批次效应。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（2）回归协变量校正。</w:t>
      </w:r>
      <w:r>
        <w:rPr>
          <w:rFonts w:ascii="SimSun" w:cs="SimSun" w:eastAsia="SimSun" w:hAnsi="SimSun"/>
          <w:sz w:val="21"/>
          <w:szCs w:val="21"/>
        </w:rPr>
        <w:t xml:space="preserve">差异分析模型中再次纳入年龄、性别与研究固定效应，形成双重保障。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1.4  差异丰度统计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物种筛选：匹配队列内流行率不低于 10%，共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199 个物种</w:t>
      </w:r>
      <w:r>
        <w:rPr>
          <w:rFonts w:ascii="SimSun" w:cs="SimSun" w:eastAsia="SimSun" w:hAnsi="SimSun"/>
          <w:sz w:val="21"/>
          <w:szCs w:val="21"/>
        </w:rPr>
        <w:t xml:space="preserve">进入检验。主模型为 OLS 回归：log10(相对丰度 + 0.001) ~ 肥胖 + 年龄 + 性别 + 研究，提取肥胖项系数与 P 值，行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Benjamini-Hochberg FDR</w:t>
      </w:r>
      <w:r>
        <w:rPr>
          <w:rFonts w:ascii="SimSun" w:cs="SimSun" w:eastAsia="SimSun" w:hAnsi="SimSun"/>
          <w:sz w:val="21"/>
          <w:szCs w:val="21"/>
        </w:rPr>
        <w:t xml:space="preserve"> 多重检验校正。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稳健性交叉验证：在各研究内独立计算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Hedges g</w:t>
      </w:r>
      <w:r>
        <w:rPr>
          <w:rFonts w:ascii="SimSun" w:cs="SimSun" w:eastAsia="SimSun" w:hAnsi="SimSun"/>
          <w:sz w:val="21"/>
          <w:szCs w:val="21"/>
        </w:rPr>
        <w:t xml:space="preserve">（含小样本偏倚校正因子），再以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DerSimonian-Laird 随机效应模型</w:t>
      </w:r>
      <w:r>
        <w:rPr>
          <w:rFonts w:ascii="SimSun" w:cs="SimSun" w:eastAsia="SimSun" w:hAnsi="SimSun"/>
          <w:sz w:val="21"/>
          <w:szCs w:val="21"/>
        </w:rPr>
        <w:t xml:space="preserve">合并，报告 95% 置信区间与异质性指标 I²。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稳健差异菌</w:t>
      </w:r>
      <w:r>
        <w:rPr>
          <w:rFonts w:ascii="SimSun" w:cs="SimSun" w:eastAsia="SimSun" w:hAnsi="SimSun"/>
          <w:sz w:val="21"/>
          <w:szCs w:val="21"/>
        </w:rPr>
        <w:t xml:space="preserve">须同时满足三项条件：FDR&lt;0.05；meta 合并 95%CI 排除 0；两种方法方向一致。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1.5  AI 验证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在匹配队列上训练平衡随机森林（500 树，最大深度 6，最小叶节点 3），采用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留一研究交叉验证</w:t>
      </w:r>
      <w:r>
        <w:rPr>
          <w:rFonts w:ascii="SimSun" w:cs="SimSun" w:eastAsia="SimSun" w:hAnsi="SimSun"/>
          <w:sz w:val="21"/>
          <w:szCs w:val="21"/>
        </w:rPr>
        <w:t xml:space="preserve">——每次留出一整项研究作为独立测试集，从设计上杜绝批次泄漏。同时以仅年龄与性别为特征训练对照模型，用以检验人口学混杂是否已被彻底消除。</w:t>
      </w:r>
    </w:p>
    <w:p>
      <w:pPr>
        <w:pStyle w:val="Heading1"/>
        <w:spacing w:after="150" w:before="300"/>
      </w:pPr>
      <w:r>
        <w:rPr>
          <w:rFonts w:ascii="SimHei" w:cs="SimHei" w:eastAsia="SimHei" w:hAnsi="SimHei"/>
          <w:b/>
          <w:bCs/>
          <w:sz w:val="29"/>
          <w:szCs w:val="29"/>
        </w:rPr>
        <w:t xml:space="preserve">2  结果</w:t>
      </w:r>
    </w:p>
    <w:p>
      <w:pPr>
        <w:spacing w:after="50" w:before="150"/>
        <w:jc w:val="center"/>
      </w:pPr>
      <w:r>
        <w:drawing>
          <wp:inline distT="0" distB="0" distL="0" distR="0">
            <wp:extent cx="5524500" cy="3829050"/>
            <wp:effectExtent t="0" r="0" b="0" l="0"/>
            <wp:docPr id="1" name="fig17_we_healthy_full.png" descr="图 1  西欧健康队列胖瘦差异菌群总览：(A) 校正后差异丰度火山图；(B) AI 留一研究验证；(C) 稳健瘦人富集菌森林图；(D) 稳健肥胖富集菌森林图" title="图 1  西欧健康队列胖瘦差异菌群总览：(A) 校正后差异丰度火山图；(B) AI 留一研究验证；(C) 稳健瘦人富集菌森林图；(D) 稳健肥胖富集菌森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/>
        <w:jc w:val="center"/>
      </w:pPr>
      <w:r>
        <w:rPr>
          <w:rFonts w:ascii="SimHei" w:cs="SimHei" w:eastAsia="SimHei" w:hAnsi="SimHei"/>
          <w:b/>
          <w:bCs/>
          <w:sz w:val="18"/>
          <w:szCs w:val="18"/>
        </w:rPr>
        <w:t xml:space="preserve">图 1  西欧健康队列胖瘦差异菌群总览：(A) 校正后差异丰度火山图；(B) AI 留一研究验证；(C) 稳健瘦人富集菌森林图；(D) 稳健肥胖富集菌森林图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 混杂消除的关键验证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匹配前，仅使用年龄与性别即可达到 AUC 0.722，高于菌群单独模型；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匹配后，人口学模型 AUC 降至 0.527，接近随机水平，而菌群模型仍达 0.749</w:t>
      </w:r>
      <w:r>
        <w:rPr>
          <w:rFonts w:ascii="SimSun" w:cs="SimSun" w:eastAsia="SimSun" w:hAnsi="SimSun"/>
          <w:sz w:val="21"/>
          <w:szCs w:val="21"/>
        </w:rPr>
        <w:t xml:space="preserve">（表 3、图 1B）。这一对照证明：观察到的菌群差异并非年龄或性别的副产品，而是独立的生物学信号。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留一研究 AUC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解读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仅年龄 + 性别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0.527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接近随机，混杂已消除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菌群（199 物种）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0.749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跨研究可泛化的独立信号</w:t>
            </w:r>
          </w:p>
        </w:tc>
      </w:tr>
    </w:tbl>
    <w:p>
      <w:pPr>
        <w:spacing w:after="180" w:before="70"/>
        <w:jc w:val="center"/>
      </w:pPr>
      <w:r>
        <w:rPr>
          <w:rFonts w:ascii="SimHei" w:cs="SimHei" w:eastAsia="SimHei" w:hAnsi="SimHei"/>
          <w:b/>
          <w:bCs/>
          <w:sz w:val="17"/>
          <w:szCs w:val="17"/>
        </w:rPr>
        <w:t xml:space="preserve">表 3  匹配队列上的 AI 判别效力对照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各研究留出表现存在系统性差异：丹麦三项研究（LeChatelierE、HansenLBS、NielsenHB，源自 MetaHIT 计划）AUC 达 0.89–1.00，而人群队列（AsnicarF 0.67、LifeLinesDeep 0.66、XieH 0.65）明显较低。前者以“胖瘦对比”为设计目标、招募极端表型，故可分性偏高；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人群队列的估计更接近真实世界效力</w:t>
      </w:r>
      <w:r>
        <w:rPr>
          <w:rFonts w:ascii="SimSun" w:cs="SimSun" w:eastAsia="SimSun" w:hAnsi="SimSun"/>
          <w:sz w:val="21"/>
          <w:szCs w:val="21"/>
        </w:rPr>
        <w:t xml:space="preserve">。KeohaneDM 匹配后样本极少，其 AUC 0.48 不具解释力。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 差异菌群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 199 个受检物种中，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41 个</w:t>
      </w:r>
      <w:r>
        <w:rPr>
          <w:rFonts w:ascii="SimSun" w:cs="SimSun" w:eastAsia="SimSun" w:hAnsi="SimSun"/>
          <w:sz w:val="21"/>
          <w:szCs w:val="21"/>
        </w:rPr>
        <w:t xml:space="preserve">达到 FDR&lt;0.05；其中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37 个</w:t>
      </w:r>
      <w:r>
        <w:rPr>
          <w:rFonts w:ascii="SimSun" w:cs="SimSun" w:eastAsia="SimSun" w:hAnsi="SimSun"/>
          <w:sz w:val="21"/>
          <w:szCs w:val="21"/>
        </w:rPr>
        <w:t xml:space="preserve">同时通过随机效应 meta 验证，判定为稳健差异菌（表 4、表 5）。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600"/>
        <w:gridCol w:w="1500"/>
        <w:gridCol w:w="1100"/>
        <w:gridCol w:w="9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物种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合并 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倍数变化(胖/瘦)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FDR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I²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Firmicutes bacterium CAG 95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0.17 ~ 0.66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1.1e-5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Methanobrevibacter smithii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0.24 ~ 0.50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3.4e-6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Roseburia sp CAG 303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0.20 ~ 0.52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1.5e-5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Oscillibacter sp CAG 241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0.11 ~ 0.58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59%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Roseburia sp CAG 309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0.13 ~ 0.55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49%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Fretibacterium fastidiosum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0.12 ~ 0.52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7.9e-3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Bacteroides cellulosilyticus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0.18 ~ 0.44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3.1e-4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Firmicutes bacterium CAG 238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0.16 ~ 0.42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9.5e-4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Butyrivibrio crossotus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0.15 ~ 0.41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Eubacterium eligens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0.14 ~ 0.40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Intestinimonas butyriciproducens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0.13 ~ 0.40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Ruminococcaceae bacterium D5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0.13 ~ 0.39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9.4e-4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</w:tbl>
    <w:p>
      <w:pPr>
        <w:spacing w:after="180" w:before="70"/>
        <w:jc w:val="center"/>
      </w:pPr>
      <w:r>
        <w:rPr>
          <w:rFonts w:ascii="SimHei" w:cs="SimHei" w:eastAsia="SimHei" w:hAnsi="SimHei"/>
          <w:b/>
          <w:bCs/>
          <w:sz w:val="17"/>
          <w:szCs w:val="17"/>
        </w:rPr>
        <w:t xml:space="preserve">表 4  稳健瘦人富集菌（按合并效应量排序，前 12）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600"/>
        <w:gridCol w:w="1500"/>
        <w:gridCol w:w="1100"/>
        <w:gridCol w:w="9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物种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合并 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倍数变化(胖/瘦)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FDR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6"/>
                <w:szCs w:val="16"/>
              </w:rPr>
              <w:t xml:space="preserve">I²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Ruminococcus gnavus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-0.49 ~ -0.12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2.05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1.1e-4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39%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Streptococcus vestibularis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-0.40 ~ -0.11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1.5e-3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Roseburia intestinalis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-0.45 ~ -0.05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2.1e-2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47%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Eubacterium rectale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-0.36 ~ -0.10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1.81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4.6e-3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Flavonifractor plautii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-0.36 ~ -0.10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7.9e-3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Clostridium sp CAG 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-0.33 ~ -0.07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1.5e-2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Allisonella histaminiformans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-0.33 ~ -0.01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1.21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4.3e-2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</w:tr>
    </w:tbl>
    <w:p>
      <w:pPr>
        <w:spacing w:after="180" w:before="70"/>
        <w:jc w:val="center"/>
      </w:pPr>
      <w:r>
        <w:rPr>
          <w:rFonts w:ascii="SimHei" w:cs="SimHei" w:eastAsia="SimHei" w:hAnsi="SimHei"/>
          <w:b/>
          <w:bCs/>
          <w:sz w:val="17"/>
          <w:szCs w:val="17"/>
        </w:rPr>
        <w:t xml:space="preserve">表 5  稳健肥胖富集菌（全部）</w:t>
      </w:r>
    </w:p>
    <w:p>
      <w:pPr>
        <w:pStyle w:val="Heading2"/>
        <w:spacing w:after="11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 生物学发现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（1）产甲烷古菌为最稳健瘦人标志。</w:t>
      </w:r>
      <w:r>
        <w:rPr>
          <w:rFonts w:ascii="SimSun" w:cs="SimSun" w:eastAsia="SimSun" w:hAnsi="SimSun"/>
          <w:sz w:val="21"/>
          <w:szCs w:val="21"/>
        </w:rPr>
        <w:t xml:space="preserve"> Methanobrevibacter smithii 合并效应量 +0.37，异质性 I²=0%，肥胖者丰度仅为瘦人的 0.29 倍（FDR=3.4×10⁻⁶），各研究结论高度一致。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（2）多个丁酸产生菌为瘦人富集且异质性为零。</w:t>
      </w:r>
      <w:r>
        <w:rPr>
          <w:rFonts w:ascii="SimSun" w:cs="SimSun" w:eastAsia="SimSun" w:hAnsi="SimSun"/>
          <w:sz w:val="21"/>
          <w:szCs w:val="21"/>
        </w:rPr>
        <w:t xml:space="preserve"> 包括 Butyrivibrio crossotus（0.44 倍，I²=0%）、Eubacterium eligens（0.49 倍，I²=0%）、Intestinimonas butyriciproducens 及 Roseburia 属 CAG_303/309 分支。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（3）反直觉发现：丁酸产生菌存在种间方向分化。</w:t>
      </w:r>
      <w:r>
        <w:rPr>
          <w:rFonts w:ascii="SimSun" w:cs="SimSun" w:eastAsia="SimSun" w:hAnsi="SimSun"/>
          <w:sz w:val="21"/>
          <w:szCs w:val="21"/>
        </w:rPr>
        <w:t xml:space="preserve"> Roseburia intestinalis（1.74 倍）与 Eubacterium rectale（1.81 倍）虽同属经典丁酸产生菌，却在肥胖者中显著富集。这表明“丁酸产生菌等同于瘦表型”的属级叙事过于简化，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菌株组合设计必须下沉到种级分辨率</w:t>
      </w:r>
      <w:r>
        <w:rPr>
          <w:rFonts w:ascii="SimSun" w:cs="SimSun" w:eastAsia="SimSun" w:hAnsi="SimSun"/>
          <w:sz w:val="21"/>
          <w:szCs w:val="21"/>
        </w:rPr>
        <w:t xml:space="preserve">，否则存在方向性风险。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（4）Ruminococcus gnavus 在肥胖者中丰度翻倍</w:t>
      </w:r>
      <w:r>
        <w:rPr>
          <w:rFonts w:ascii="SimSun" w:cs="SimSun" w:eastAsia="SimSun" w:hAnsi="SimSun"/>
          <w:sz w:val="21"/>
          <w:szCs w:val="21"/>
        </w:rPr>
        <w:t xml:space="preserve">（2.05 倍，FDR=1.1×10⁻⁴），为最强肥胖标志。该菌是已知的黏液降解与促炎菌，与肥胖低度炎症机制相吻合。</w:t>
      </w:r>
    </w:p>
    <w:p>
      <w:pPr>
        <w:spacing w:after="11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（5）口腔菌易位信号在严格校正后大幅减弱。</w:t>
      </w:r>
      <w:r>
        <w:rPr>
          <w:rFonts w:ascii="SimSun" w:cs="SimSun" w:eastAsia="SimSun" w:hAnsi="SimSun"/>
          <w:sz w:val="21"/>
          <w:szCs w:val="21"/>
        </w:rPr>
        <w:t xml:space="preserve"> 仅 Streptococcus vestibularis 保留统计显著（1.35 倍）。此前在未排除 T2D、未做匹配的分析中观察到的强口腔链球菌信号，主要由疾病状态与人口学差异驱动，本研究予以修正。</w:t>
      </w:r>
    </w:p>
    <w:p>
      <w:pPr>
        <w:pStyle w:val="Heading1"/>
        <w:spacing w:after="150" w:before="300"/>
      </w:pPr>
      <w:r>
        <w:rPr>
          <w:rFonts w:ascii="SimHei" w:cs="SimHei" w:eastAsia="SimHei" w:hAnsi="SimHei"/>
          <w:b/>
          <w:bCs/>
          <w:sz w:val="29"/>
          <w:szCs w:val="29"/>
        </w:rPr>
        <w:t xml:space="preserve">3  结论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在 7 项西欧研究、2008 例无疾病受试者中，经研究内年龄性别 1:1 匹配与回归双重校正后，肠道菌群仍能跨研究区分胖瘦（留一研究 AUC 0.749），而人口学信息已完全失效（0.527）。菌群差异是独立于年龄性别的生物学信号。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共鉴定 37 个稳健差异物种。瘦人以产甲烷古菌与特定丁酸产生菌为特征；肥胖以 Ruminococcus gnavus 丰度翻倍为最强标志。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种级分辨率不可替代：同为丁酸产生菌，Butyrivibrio crossotus 与 Eubacterium eligens 富集于瘦人，而 Roseburia intestinalis 与 Eubacterium rectale 富集于肥胖，基于功能属的组合设计存在方向性风险。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对菌株组合设计的直接输入：Butyrivibrio crossotus 在本严格分析中获得独立验证；建议将 Eubacterium eligens、Intestinimonas butyriciproducens 与 Methanobrevibacter smithii 纳入候选池，并排除 Roseburia intestinalis 与 Eubacterium rectale。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Ruminococcus gnavus 丰度下降可作为西欧人群减脂干预的候选疗效生物标志物。</w:t>
      </w:r>
    </w:p>
    <w:p>
      <w:pPr>
        <w:pStyle w:val="Heading1"/>
        <w:spacing w:after="150" w:before="300"/>
      </w:pPr>
      <w:r>
        <w:rPr>
          <w:rFonts w:ascii="SimHei" w:cs="SimHei" w:eastAsia="SimHei" w:hAnsi="SimHei"/>
          <w:b/>
          <w:bCs/>
          <w:sz w:val="29"/>
          <w:szCs w:val="29"/>
        </w:rPr>
        <w:t xml:space="preserve">4  局限性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横断面关联而非因果：不能据此推断补充上述菌株可致减脂，需干预试验验证。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匹配代价：1:1 匹配使样本量自 2 008 降至 904，统计效能下降、置信区间变宽，未匹配上的极端年龄样本被舍弃。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残余混杂：饮食结构、用药（含抗生素）、体力活动等信息缺失，无法纳入校正。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队列设计异质：丹麦 MetaHIT 系列为极端表型设计，判别效力偏高；人群队列估计更为保守。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地域局限：结论限于西欧人群，前期分层分析显示部分菌种（如 Roseburia intestinalis）在东亚人群中方向相反。</w:t>
      </w:r>
    </w:p>
    <w:p>
      <w:pPr>
        <w:pStyle w:val="Heading1"/>
        <w:spacing w:after="150" w:before="300"/>
      </w:pPr>
      <w:r>
        <w:rPr>
          <w:rFonts w:ascii="SimHei" w:cs="SimHei" w:eastAsia="SimHei" w:hAnsi="SimHei"/>
          <w:b/>
          <w:bCs/>
          <w:sz w:val="29"/>
          <w:szCs w:val="29"/>
        </w:rPr>
        <w:t xml:space="preserve">5  数据与代码可用性</w:t>
      </w:r>
    </w:p>
    <w:p>
      <w:pPr>
        <w:spacing w:after="110" w:line="3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分析脚本：scripts/obesity_model/we_healthy_full_analysis.py；结果数据：results/prediction_results/we_healthy/（含队列来源表 cohort_sources.csv、匹配队列 matched_cohort.csv、完整差异分析表 differential_abundance_adjusted.csv、分析摘要 analysis_summary.json）；配套 Excel 汇总见 西欧健康队列_完整数据_20260625.xlsx。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SimHei" w:cs="SimHei" w:eastAsia="SimHei" w:hAnsi="SimHei"/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66f8f9bc087e9de0f28581c9aa34f6f7b64e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2026-07-29T00:06:06.818Z</dcterms:created>
  <dcterms:modified xsi:type="dcterms:W3CDTF">2026-07-29T00:06:06.821Z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