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数据驱动的益生菌减脂菌株组合研发框架</w:t>
      </w:r>
    </w:p>
    <w:p>
      <w:pPr>
        <w:spacing w:after="80"/>
        <w:jc w:val="center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AI 临床数据筛选 — 菌株机制细筛 — 菌株效果验证</w:t>
      </w:r>
    </w:p>
    <w:p>
      <w:pPr>
        <w:spacing w:after="6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ProSlim-Microbiome-AI 项目组</w:t>
      </w:r>
    </w:p>
    <w:p>
      <w:pPr>
        <w:spacing w:after="36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2026 年 6 月 25 日</w:t>
      </w:r>
    </w:p>
    <w:p>
      <w:pPr>
        <w:spacing w:after="10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摘要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背景：</w:t>
      </w:r>
      <w:r>
        <w:rPr>
          <w:rFonts w:ascii="SimSun" w:cs="SimSun" w:eastAsia="SimSun" w:hAnsi="SimSun"/>
          <w:sz w:val="21"/>
          <w:szCs w:val="21"/>
        </w:rPr>
        <w:t xml:space="preserve">益生菌减脂的临床证据高度异质，既往以“已测配方证据”为骨架的组合推荐存在两个根本缺陷：组合常由单一产品的捆绑证据驱动（而非数据支持的协同），且所用菌属在瘦/胖人群间几乎无差异。本研究重构为一个数据驱动、机制接地、可诚实验证的三阶段框架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方法：</w:t>
      </w:r>
      <w:r>
        <w:rPr>
          <w:rFonts w:ascii="SimSun" w:cs="SimSun" w:eastAsia="SimSun" w:hAnsi="SimSun"/>
          <w:sz w:val="21"/>
          <w:szCs w:val="21"/>
        </w:rPr>
        <w:t xml:space="preserve">(一) AI 临床数据筛选——以 8 304 样本 / 45 研究训练肥胖状态 AI 模型，并在 15 项同时含瘦(无胰岛素抵抗)与肥胖人群的研究内求差、跨研究聚合，得到方向稳健的差异菌；(二) 菌株机制细筛——对瘦人富集菌按功能、机制互补与可培养性打分，组合以覆盖丁酸/丙酸/黏液/BSH 多轴为协同标准，并过基因组安全门（AMR/毒力/MGE 知识先验 + 基因组可得性）；(三) 菌株效果验证——以留一研究/留一受试者验证与越基线门控为证据标准，建立个体应答模型脚手架与验证数据获取路径。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结果：</w:t>
      </w:r>
      <w:r>
        <w:rPr>
          <w:rFonts w:ascii="SimSun" w:cs="SimSun" w:eastAsia="SimSun" w:hAnsi="SimSun"/>
          <w:sz w:val="21"/>
          <w:szCs w:val="21"/>
        </w:rPr>
        <w:t xml:space="preserve">肥胖分类分组 AUC 0.729；瘦人富集得 53 个方向稳健物种（≥11/15 研究一致），稳健信号集中于丁酸产生菌与 Akkermansia（黏液轴）。机制细筛得到协同组合，首选为肠拟杆菌 + 嗜黏蛋白阿克曼氏菌 + 人肠巴恩斯氏菌 + 丛毛丁酸弧菌（覆盖全部四条机制轴，综合分 0.821），全部可培养。安全门：候选均无致病属、均有分离基因组（真版筛查可后续运行），其中拟杆菌属被标记 MGE 高、须重点筛移动 AMR。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结论：</w:t>
      </w:r>
      <w:r>
        <w:rPr>
          <w:rFonts w:ascii="SimSun" w:cs="SimSun" w:eastAsia="SimSun" w:hAnsi="SimSun"/>
          <w:sz w:val="21"/>
          <w:szCs w:val="21"/>
        </w:rPr>
        <w:t xml:space="preserve">本框架以数据驱动定标取代证据捆绑，以机制互补定义协同，以诚实门控约束疗效断言。组合推荐以候选定标交付，疗效仍需个体级数据或前瞻 RCT 验证。</w:t>
      </w:r>
    </w:p>
    <w:p>
      <w:pPr>
        <w:spacing w:after="240" w:before="12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关键词：</w:t>
      </w:r>
      <w:r>
        <w:rPr>
          <w:rFonts w:ascii="SimSun" w:cs="SimSun" w:eastAsia="SimSun" w:hAnsi="SimSun"/>
          <w:sz w:val="20"/>
          <w:szCs w:val="20"/>
        </w:rPr>
        <w:t xml:space="preserve">肠道菌群；益生菌减脂；差异丰度；机制互补；短链脂肪酸；基因组安全门；诚实验证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  引言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肥胖与肠道菌群密切相关，益生菌、合生元与膳食纤维被寄望于辅助减脂，但已发表 RCT 在菌株、剂量、人群与结局上高度异质。既往“菌株组合推荐”常直接断言疗效，且其组合往往来自单一临床产品的捆绑证据（例如把一篇试验所测的固定多株配方整体纳入排序），这既非数据证明的协同，所用菌属在瘦/胖人群菌群差异上也并不突出。本研究将思路重构为三阶段、数据驱动的研发框架：以 AI 临床数据筛选确定有人群差异依据的候选菌，以菌株机制细筛设计机制互补且安全的协同组合，以诚实验证门控约束效果断言。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  总体框架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框架由三个阶段顺序构成（图 1）：阶段一以公开临床菌群数据筛出瘦人富集候选菌；阶段二对候选菌做功能/互补/可培养与安全筛选，产出机制互补的安全组合；阶段三以严格验证标准与个体应答模型约束并指引效果验证。贯穿原则是：数据驱动定标、机制互补、诚实门控（疗效门未过即关闭）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fig0_framework" descr="图 1  数据驱动三阶段研发框架" title="图 1  数据驱动三阶段研发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1  数据驱动三阶段研发框架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  阶段一：AI 临床数据筛选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3.1  肥胖状态 AI 模型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以 8 304 个样本、45 项研究、206 个物种相对丰度训练肥胖分类与 BMI 回归，按研究分组留一验证为主。肥胖分类分组 AUC 0.729（随机拆分 0.825，差距揭示批次/地域混杂的乐观偏差，图 2），表明菌群组成对肥胖状态有可泛化信号，可用于人群分层与候选优先级。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fig2_obesity_model" descr="图 2  肥胖状态 AI 模型：分组验证有信号且乐观差距可控" title="图 2  肥胖状态 AI 模型：分组验证有信号且乐观差距可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2  肥胖状态 AI 模型：分组验证有信号且乐观差距可控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3.2  瘦(无胰岛素抵抗) vs 胖 差异丰度筛选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将瘦人(无胰岛素抵抗)定义为 lean 且 healthy（排除 T2D/IGT），与 obesity 对比。为避免 45 研究的批次混杂，仅用同时含 ≥10 例两组的 15 项研究，在研究内求差、跨研究取中位聚合，仅信任方向 ≥11/15 一致者，得 83 个稳健差异菌（瘦人富集 53、胖人富集 30，图 3）。稳健的瘦人富集信号集中于丁酸产生菌（如 *Butyrivibrio*、*Odoribacter*）与 *Akkermansia muciniphila*（黏液轴）；稳健胖人富集为 *Ruminococcus gnavus*、*Veillonella atypica* 等。值得注意的是，既往组合所用乳杆菌属在此对比中差异极小，印证证据捆绑路线与人群信号的脱节。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629025"/>
            <wp:effectExtent t="0" r="0" b="0" l="0"/>
            <wp:docPr id="1" name="fig11_diffabund_volcano" descr="图 3  瘦 vs 胖 全部差异菌总览（火山图）" title="图 3  瘦 vs 胖 全部差异菌总览（火山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3  瘦 vs 胖 全部差异菌总览（火山图）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  阶段二：菌株机制细筛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4.1  功能 / 互补 / 可培养性筛选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对 53 个瘦人富集菌按三维度打分：功能相关（属级 SCFA/黏液/BSH 与减脂机制，扣减促炎菌）、机制互补（奖励覆盖丁酸/丙酸/黏液——既往乳杆菌/双歧组合仅覆盖 BSH+乳酸的盲区）、可培养性（命名分离株先验）。促炎菌 *Bilophila*、*Desulfovibrio* 与仅 MAG 物种被排除（图 4）。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fig12_lean_screen" descr="图 4  瘦人富集菌的功能/互补/可培养性筛选" title="图 4  瘦人富集菌的功能/互补/可培养性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4  瘦人富集菌的功能/互补/可培养性筛选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4.2  协同组合打分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协同被操作化为机制轴互补——组合按覆盖的不同功能轴（丁酸·丙酸·黏液·BSH）计分，要求 ≥3 轴，并综合减脂潜力、降胆固醇能力与菌株性质。首选组合覆盖全部四轴，综合分 0.821（图 5、表 1）。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fig13_synergistic_combos" descr="图 5  数据驱动的协同减脂组合（Top 6，维度分解）" title="图 5  数据驱动的协同减脂组合（Top 6，维度分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5  数据驱动的协同减脂组合（Top 6，维度分解）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1626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排名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组合成员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机制轴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综合分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肠拟杆菌 + 嗜黏蛋白阿克曼氏菌 + 人肠巴恩斯氏菌 + 丛毛丁酸弧菌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丁+丙+黏+BSH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0.821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肠拟杆菌 + 人肠巴恩斯氏菌 + 丛毛丁酸弧菌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丁+丙+黏+BSH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0.815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肠拟杆菌 + 嗜黏蛋白阿克曼氏菌 + 丛毛丁酸弧菌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丁+丙+黏+BSH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0.815</w:t>
            </w:r>
          </w:p>
        </w:tc>
      </w:tr>
    </w:tbl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18"/>
          <w:szCs w:val="18"/>
        </w:rPr>
        <w:t xml:space="preserve">表 1  代表性协同组合（覆盖四条机制轴）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4.3  基因组安全门（AMR / 毒力 / MGE）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对组合候选过基因组安全门：以 EFSA QPS + 临床微生物学知识先验给出风险类别，并查 NCBI 基因组可得性（决定真版筛查是否可运行）。14 株候选均无致病属、均有分离基因组（真版筛查可后续运行）；*Akkermansia*、*Odoribacter* 具 LBP 人体前例（最低门槛），而拟杆菌属（含降胆固醇株肠拟杆菌）被标记 MGE 高、须重点筛查可移动 tetQ/ermF/cfxA（图 6）。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fig14_safety_gate" descr="图 6  协同候选菌的基因组安全门分流状态矩阵" title="图 6  协同候选菌的基因组安全门分流状态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6  协同候选菌的基因组安全门分流状态矩阵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注：</w:t>
      </w:r>
      <w:r>
        <w:rPr>
          <w:rFonts w:ascii="SimSun" w:cs="SimSun" w:eastAsia="SimSun" w:hAnsi="SimSun"/>
          <w:sz w:val="21"/>
          <w:szCs w:val="21"/>
        </w:rPr>
        <w:t xml:space="preserve"> 本环境不运行真版 AMRFinderPlus/abricate-CARD-VFDB；此为知识先验 + 基因组可得性分流，用于决定先筛谁并标注已知风险，不替代菌株级真版筛查。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  阶段三：菌株效果验证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5.1  诚实验证门控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效果断言受统一门控约束：连续效应模型须在留一研究下越过均值基线方可启用组合疗效排序。从 137 条效应行经层层筛选仅得 19 项独立研究，4 个可建模 stratum 中仅 1 个越基线，故组合疗效排序门保持关闭（图 7）。这是数据约束下的正确表述，而非缺陷——本框架的组合以候选定标交付，不作疗效概率断言。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fig4_gate_funnel" descr="图 7  证据到疗效门的诚实漏斗" title="图 7  证据到疗效门的诚实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7  证据到疗效门的诚实漏斗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5.2  个体应答模型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个体减脂应答的真正预测需个体级数据（同一批人的基线菌群 + 各自结局）。本研究构建了留一受试者验证的个体应答建模脚手架，并以合成自检证明其能识别真信号、拒绝纯噪声，待对口数据即可运行。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5.3  验证数据获取（IPD）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以 EuropePMC + ENA + 数据链 API 三轮（含结局过滤）搜寻沉积了每受试者测序的减脂干预 RCT（图 8）。结论：公开库中尚无同时具备每受试者测序与减脂结局的益生菌 RCT；唯一群体对口且配对的沉积为低卡饮食队列。这把验证瓶颈精确定位为个体级数据的缺失，指明经作者协作或前瞻试验创造 IPD 的路径。效果验证的整体顺序为：基因组安全筛查 → 体外 SCFA/BSH/黏附功能确认 → 动物模型 → 个体级 IPD / 前瞻 RCT。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fig8_ipd_funnel" descr="图 8  验证数据获取（IPD）三轮搜寻与文献级核验" title="图 8  验证数据获取（IPD）三轮搜寻与文献级核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8  验证数据获取（IPD）三轮搜寻与文献级核验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  讨论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本框架相对既往路线的根本转变在于：以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数据驱动定标</w:t>
      </w:r>
      <w:r>
        <w:rPr>
          <w:rFonts w:ascii="SimSun" w:cs="SimSun" w:eastAsia="SimSun" w:hAnsi="SimSun"/>
          <w:sz w:val="21"/>
          <w:szCs w:val="21"/>
        </w:rPr>
        <w:t xml:space="preserve">取代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证据捆绑</w:t>
      </w:r>
      <w:r>
        <w:rPr>
          <w:rFonts w:ascii="SimSun" w:cs="SimSun" w:eastAsia="SimSun" w:hAnsi="SimSun"/>
          <w:sz w:val="21"/>
          <w:szCs w:val="21"/>
        </w:rPr>
        <w:t xml:space="preserve">。我们删除了以单一产品固定配方为骨架的组合方向——该方向产生的乳杆菌三联实为单篇试验的产品绑定，并非数据证明的协同，且其菌属在瘦/胖差异上近乎为零。取而代之，候选菌来自有人群差异依据的瘦人富集信号，组合以机制互补（丁酸/丙酸/黏液/BSH）定义协同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数据驱动的瘦人富集菌恰好落在丁酸与黏液轴，正是既往乳杆菌/双歧组合的机制盲区，这从机制上解释了证据捆绑路线的局限。安全门进一步揭示数据驱动候选的现实约束：多为新型益生菌/严格厌氧，须先过真版基因组筛查，且拟杆菌属携带可移动 AMR 的风险需重点排查。诚实门控与 IPD 缺失分析则把效果验证从“调模型”锁定到“采数据”。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  结论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数据驱动的三阶段框架以人群差异定标候选、以机制互补设计协同、以诚实门控约束断言，给出可落地的安全协同组合候选与清晰的验证路线。下一步为：在生信环境运行真版基因组安全筛查，开展体外与动物验证，并经作者协作/前瞻试验获取个体级数据以最终验证减脂效果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8  局限性与诚实声明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差异丰度为横断面关联，非因果；菌株补充能否致减重需 IPD/前瞻 RCT。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菌株功能为属级先验（如真杆菌属异质，部分丁酸功能可能被低估），需菌株级基因组注释确认。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安全门为知识先验 + 基因组可得性，未运行真版 AMRFinder/VFDB；真版筛查须在生信环境完成。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肥胖状态模型仅内部分组验证，存在乐观偏差；尚无独立外部数据集。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组合为候选定标，非疗效/响应概率；疗效门保持关闭。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9  数据与代码可用性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代码、数据产出与图表生成脚本纳入项目仓库（分支 codex/archive-supplement-pipeline）。差异丰度与瘦人富集筛选见 results/prediction_results/ 下 lean_vs_obese 与 lean_enriched 系列；协同组合与安全门见 synergistic 与 safety_gate 系列；图表生成见 scripts/visualization/。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imHei" w:cs="SimHei" w:eastAsia="SimHei" w:hAnsi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imHei" w:cs="SimHei" w:eastAsia="SimHei" w:hAnsi="SimHe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e38b1b8d3a3c63745de59d4dbcf7c2058c03d7.png"/><Relationship Id="rId9" Type="http://schemas.openxmlformats.org/officeDocument/2006/relationships/image" Target="media/daffd4f982fa6004dc1147485ff2ffc4316b267b.png"/><Relationship Id="rId10" Type="http://schemas.openxmlformats.org/officeDocument/2006/relationships/image" Target="media/009eeb0c0ec71f813a615fe809e171a2127bb5ae.png"/><Relationship Id="rId11" Type="http://schemas.openxmlformats.org/officeDocument/2006/relationships/image" Target="media/e2d615c33dde2d0013fd13009ebada4b79e40868.png"/><Relationship Id="rId12" Type="http://schemas.openxmlformats.org/officeDocument/2006/relationships/image" Target="media/f80536f56f543aee623db6052a95a751f74badff.png"/><Relationship Id="rId13" Type="http://schemas.openxmlformats.org/officeDocument/2006/relationships/image" Target="media/9a8a41065577de2f52cf893ec0d9ef86bb6f80d1.png"/><Relationship Id="rId14" Type="http://schemas.openxmlformats.org/officeDocument/2006/relationships/image" Target="media/b816019cfdbebffa5beb47f5d498968b019d1403.png"/><Relationship Id="rId15" Type="http://schemas.openxmlformats.org/officeDocument/2006/relationships/image" Target="media/77165af55155891d9341e12b772692838c735da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2026-06-25T10:57:27.982Z</dcterms:created>
  <dcterms:modified xsi:type="dcterms:W3CDTF">2026-06-25T10:57:27.984Z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