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92" w:line="336" w:lineRule="auto"/>
        <w:jc w:val="left"/>
        <w:rPr>
          <w:color w:val="1A237E"/>
        </w:rPr>
      </w:pPr>
      <w:r>
        <w:rPr>
          <w:rFonts w:hint="eastAsia" w:ascii="微软雅黑" w:hAnsi="微软雅黑" w:eastAsia="微软雅黑" w:cs="微软雅黑"/>
          <w:b/>
          <w:color w:val="1A237E"/>
          <w:sz w:val="44"/>
        </w:rPr>
        <w:t>生成式 AI 安全代码评测样本库项目</w:t>
      </w:r>
      <w:r>
        <w:br w:type="textWrapping"/>
      </w:r>
      <w:r>
        <w:rPr>
          <w:rFonts w:hint="eastAsia" w:ascii="微软雅黑" w:hAnsi="微软雅黑" w:eastAsia="微软雅黑" w:cs="微软雅黑"/>
          <w:b/>
          <w:color w:val="1A237E"/>
          <w:sz w:val="44"/>
        </w:rPr>
        <w:t>可行性评估报告</w:t>
      </w:r>
    </w:p>
    <w:p>
      <w:pPr>
        <w:spacing w:after="96" w:line="384" w:lineRule="auto"/>
        <w:jc w:val="left"/>
        <w:rPr>
          <w:rFonts w:hint="eastAsia" w:ascii="宋体" w:hAnsi="宋体" w:eastAsia="宋体" w:cs="宋体"/>
          <w:color w:val="616161"/>
          <w:sz w:val="20"/>
        </w:rPr>
      </w:pPr>
    </w:p>
    <w:p>
      <w:pPr>
        <w:spacing w:after="96" w:line="384" w:lineRule="auto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0"/>
        </w:rPr>
        <w:t>报告日期：2026 年 10 月 21 日</w:t>
      </w:r>
    </w:p>
    <w:p>
      <w:pPr>
        <w:spacing w:after="96" w:line="384" w:lineRule="auto"/>
        <w:jc w:val="left"/>
        <w:rPr>
          <w:rFonts w:hint="default" w:ascii="宋体" w:hAnsi="宋体" w:eastAsia="宋体" w:cs="宋体"/>
          <w:color w:val="616161"/>
          <w:sz w:val="20"/>
          <w:lang w:val="en-US" w:eastAsia="zh-CN"/>
        </w:rPr>
      </w:pPr>
      <w:r>
        <w:rPr>
          <w:rFonts w:hint="eastAsia" w:ascii="宋体" w:hAnsi="宋体" w:eastAsia="宋体" w:cs="宋体"/>
          <w:color w:val="616161"/>
          <w:sz w:val="20"/>
        </w:rPr>
        <w:t>版本：V</w:t>
      </w:r>
      <w:r>
        <w:rPr>
          <w:rFonts w:hint="eastAsia" w:ascii="宋体" w:hAnsi="宋体" w:eastAsia="宋体" w:cs="宋体"/>
          <w:color w:val="616161"/>
          <w:sz w:val="20"/>
          <w:lang w:val="en-US" w:eastAsia="zh-CN"/>
        </w:rPr>
        <w:t>0.1 （内部评估）</w:t>
      </w:r>
    </w:p>
    <w:p>
      <w:pPr>
        <w:spacing w:after="96" w:line="384" w:lineRule="auto"/>
        <w:jc w:val="left"/>
        <w:rPr>
          <w:rFonts w:hint="default" w:ascii="宋体" w:hAnsi="宋体" w:eastAsia="宋体" w:cs="宋体"/>
          <w:color w:val="616161"/>
          <w:sz w:val="20"/>
          <w:lang w:val="en-US" w:eastAsia="zh-CN"/>
        </w:rPr>
        <w:sectPr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  <w:lang w:val="en-US" w:eastAsia="zh-CN"/>
        </w:rPr>
        <w:t>报告人：Jiaqi</w:t>
      </w:r>
    </w:p>
    <w:p>
      <w:pPr>
        <w:spacing w:before="240" w:after="120"/>
      </w:pPr>
      <w:r>
        <w:rPr>
          <w:rFonts w:hint="eastAsia"/>
          <w:b/>
        </w:rPr>
        <w:t>目录</w:t>
      </w:r>
    </w:p>
    <w:p>
      <w:pPr>
        <w:pStyle w:val="4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"sec-1" </w:instrText>
      </w:r>
      <w:r>
        <w:fldChar w:fldCharType="separate"/>
      </w:r>
      <w:r>
        <w:rPr>
          <w:rFonts w:hint="eastAsia"/>
        </w:rPr>
        <w:t>一、项目背景与需求理解</w:t>
      </w:r>
      <w:r>
        <w:fldChar w:fldCharType="end"/>
      </w:r>
      <w:r>
        <w:tab/>
      </w:r>
      <w:r>
        <w:fldChar w:fldCharType="begin"/>
      </w:r>
      <w:r>
        <w:instrText xml:space="preserve"> PAGEREF sec-1 \h </w:instrText>
      </w:r>
      <w:r>
        <w:fldChar w:fldCharType="separate"/>
      </w:r>
      <w:r>
        <w:t>3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"sec-1-1" </w:instrText>
      </w:r>
      <w:r>
        <w:fldChar w:fldCharType="separate"/>
      </w:r>
      <w:r>
        <w:rPr>
          <w:rFonts w:hint="eastAsia"/>
        </w:rPr>
        <w:t>（一）客户需求概述</w:t>
      </w:r>
      <w:r>
        <w:fldChar w:fldCharType="end"/>
      </w:r>
      <w:r>
        <w:tab/>
      </w:r>
      <w:r>
        <w:fldChar w:fldCharType="begin"/>
      </w:r>
      <w:r>
        <w:instrText xml:space="preserve"> PAGEREF sec-1-1 \h </w:instrText>
      </w:r>
      <w:r>
        <w:fldChar w:fldCharType="separate"/>
      </w:r>
      <w:r>
        <w:t>3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"sec-1-2" </w:instrText>
      </w:r>
      <w:r>
        <w:fldChar w:fldCharType="separate"/>
      </w:r>
      <w:r>
        <w:rPr>
          <w:rFonts w:hint="eastAsia"/>
        </w:rPr>
        <w:t>（二）需求本质辨析</w:t>
      </w:r>
      <w:r>
        <w:fldChar w:fldCharType="end"/>
      </w:r>
      <w:r>
        <w:tab/>
      </w:r>
      <w:r>
        <w:fldChar w:fldCharType="begin"/>
      </w:r>
      <w:r>
        <w:instrText xml:space="preserve"> PAGEREF sec-1-2 \h </w:instrText>
      </w:r>
      <w:r>
        <w:fldChar w:fldCharType="separate"/>
      </w:r>
      <w:r>
        <w:t>5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"sec-1-3" </w:instrText>
      </w:r>
      <w:r>
        <w:fldChar w:fldCharType="separate"/>
      </w:r>
      <w:r>
        <w:rPr>
          <w:rFonts w:hint="eastAsia"/>
        </w:rPr>
        <w:t>（三）单个 task 的交付物清单</w:t>
      </w:r>
      <w:r>
        <w:fldChar w:fldCharType="end"/>
      </w:r>
      <w:r>
        <w:tab/>
      </w:r>
      <w:r>
        <w:fldChar w:fldCharType="begin"/>
      </w:r>
      <w:r>
        <w:instrText xml:space="preserve"> PAGEREF sec-1-3 \h </w:instrText>
      </w:r>
      <w:r>
        <w:fldChar w:fldCharType="separate"/>
      </w:r>
      <w:r>
        <w:t>5</w:t>
      </w:r>
      <w:r>
        <w:fldChar w:fldCharType="end"/>
      </w:r>
    </w:p>
    <w:p>
      <w:pPr>
        <w:pStyle w:val="4"/>
        <w:ind w:left="0"/>
      </w:pPr>
      <w:r>
        <w:fldChar w:fldCharType="begin"/>
      </w:r>
      <w:r>
        <w:instrText xml:space="preserve"> HYPERLINK \l "sec-2" </w:instrText>
      </w:r>
      <w:r>
        <w:fldChar w:fldCharType="separate"/>
      </w:r>
      <w:r>
        <w:rPr>
          <w:rFonts w:hint="eastAsia"/>
        </w:rPr>
        <w:t>二、可行性评估</w:t>
      </w:r>
      <w:r>
        <w:fldChar w:fldCharType="end"/>
      </w:r>
      <w:r>
        <w:tab/>
      </w:r>
      <w:r>
        <w:fldChar w:fldCharType="begin"/>
      </w:r>
      <w:r>
        <w:instrText xml:space="preserve"> PAGEREF sec-2 \h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"sec-2-1" </w:instrText>
      </w:r>
      <w:r>
        <w:fldChar w:fldCharType="separate"/>
      </w:r>
      <w:r>
        <w:rPr>
          <w:rFonts w:hint="eastAsia"/>
        </w:rPr>
        <w:t>（一）总体结论</w:t>
      </w:r>
      <w:r>
        <w:fldChar w:fldCharType="end"/>
      </w:r>
      <w:r>
        <w:tab/>
      </w:r>
      <w:r>
        <w:fldChar w:fldCharType="begin"/>
      </w:r>
      <w:r>
        <w:instrText xml:space="preserve"> PAGEREF sec-2-1 \h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"sec-2-2" </w:instrText>
      </w:r>
      <w:r>
        <w:fldChar w:fldCharType="separate"/>
      </w:r>
      <w:r>
        <w:rPr>
          <w:rFonts w:hint="eastAsia"/>
        </w:rPr>
        <w:t>（二）两类风险的技术落地路径</w:t>
      </w:r>
      <w:r>
        <w:fldChar w:fldCharType="end"/>
      </w:r>
      <w:r>
        <w:tab/>
      </w:r>
      <w:r>
        <w:fldChar w:fldCharType="begin"/>
      </w:r>
      <w:r>
        <w:instrText xml:space="preserve"> PAGEREF sec-2-2 \h </w:instrText>
      </w:r>
      <w:r>
        <w:fldChar w:fldCharType="separate"/>
      </w:r>
      <w:r>
        <w:t>6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"sec-2-3" </w:instrText>
      </w:r>
      <w:r>
        <w:fldChar w:fldCharType="separate"/>
      </w:r>
      <w:r>
        <w:rPr>
          <w:rFonts w:hint="eastAsia"/>
        </w:rPr>
        <w:t>（三）样本构造方式：自研为主、开源改编为辅</w:t>
      </w:r>
      <w:r>
        <w:fldChar w:fldCharType="end"/>
      </w:r>
      <w:r>
        <w:tab/>
      </w:r>
      <w:r>
        <w:fldChar w:fldCharType="begin"/>
      </w:r>
      <w:r>
        <w:instrText xml:space="preserve"> PAGEREF sec-2-3 \h </w:instrText>
      </w:r>
      <w:r>
        <w:fldChar w:fldCharType="separate"/>
      </w:r>
      <w:r>
        <w:t>7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"sec-2-4" </w:instrText>
      </w:r>
      <w:r>
        <w:fldChar w:fldCharType="separate"/>
      </w:r>
      <w:r>
        <w:rPr>
          <w:rFonts w:hint="eastAsia"/>
        </w:rPr>
        <w:t>（四）可运行性与可重复性保障</w:t>
      </w:r>
      <w:r>
        <w:fldChar w:fldCharType="end"/>
      </w:r>
      <w:r>
        <w:tab/>
      </w:r>
      <w:r>
        <w:fldChar w:fldCharType="begin"/>
      </w:r>
      <w:r>
        <w:instrText xml:space="preserve"> PAGEREF sec-2-4 \h </w:instrText>
      </w:r>
      <w:r>
        <w:fldChar w:fldCharType="separate"/>
      </w:r>
      <w:r>
        <w:t>8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"sec-2-5" </w:instrText>
      </w:r>
      <w:r>
        <w:fldChar w:fldCharType="separate"/>
      </w:r>
      <w:r>
        <w:rPr>
          <w:rFonts w:hint="eastAsia"/>
        </w:rPr>
        <w:t>（五）关键难点与应对措施</w:t>
      </w:r>
      <w:r>
        <w:fldChar w:fldCharType="end"/>
      </w:r>
      <w:r>
        <w:tab/>
      </w:r>
      <w:r>
        <w:fldChar w:fldCharType="begin"/>
      </w:r>
      <w:r>
        <w:instrText xml:space="preserve"> PAGEREF sec-2-5 \h </w:instrText>
      </w:r>
      <w:r>
        <w:fldChar w:fldCharType="separate"/>
      </w:r>
      <w:r>
        <w:t>8</w:t>
      </w:r>
      <w:r>
        <w:fldChar w:fldCharType="end"/>
      </w:r>
    </w:p>
    <w:p>
      <w:pPr>
        <w:pStyle w:val="5"/>
        <w:ind w:left="200"/>
      </w:pPr>
      <w:r>
        <w:fldChar w:fldCharType="begin"/>
      </w:r>
      <w:r>
        <w:instrText xml:space="preserve"> HYPERLINK \l "sec-2-6" </w:instrText>
      </w:r>
      <w:r>
        <w:fldChar w:fldCharType="separate"/>
      </w:r>
      <w:r>
        <w:rPr>
          <w:rFonts w:hint="eastAsia"/>
        </w:rPr>
        <w:t>（六）能力与团队要求</w:t>
      </w:r>
      <w:r>
        <w:fldChar w:fldCharType="end"/>
      </w:r>
      <w:r>
        <w:tab/>
      </w:r>
      <w:r>
        <w:fldChar w:fldCharType="begin"/>
      </w:r>
      <w:r>
        <w:instrText xml:space="preserve"> PAGEREF sec-2-6 \h </w:instrText>
      </w:r>
      <w:r>
        <w:fldChar w:fldCharType="separate"/>
      </w:r>
      <w:r>
        <w:t>9</w:t>
      </w:r>
      <w:r>
        <w:fldChar w:fldCharType="end"/>
      </w:r>
    </w:p>
    <w:p>
      <w:pPr>
        <w:pStyle w:val="4"/>
        <w:ind w:left="0"/>
      </w:pPr>
      <w:r>
        <w:fldChar w:fldCharType="begin"/>
      </w:r>
      <w:r>
        <w:instrText xml:space="preserve"> HYPERLINK \l "sec-3" </w:instrText>
      </w:r>
      <w:r>
        <w:fldChar w:fldCharType="separate"/>
      </w:r>
      <w:r>
        <w:rPr>
          <w:rFonts w:hint="eastAsia"/>
        </w:rPr>
        <w:t>三、首批 5 个样例组合建议</w:t>
      </w:r>
      <w:r>
        <w:fldChar w:fldCharType="end"/>
      </w:r>
      <w:r>
        <w:tab/>
      </w:r>
      <w:r>
        <w:fldChar w:fldCharType="begin"/>
      </w:r>
      <w:r>
        <w:instrText xml:space="preserve"> PAGEREF sec-3 \h </w:instrText>
      </w:r>
      <w:r>
        <w:fldChar w:fldCharType="separate"/>
      </w:r>
      <w:r>
        <w:t>9</w:t>
      </w:r>
      <w:r>
        <w:fldChar w:fldCharType="end"/>
      </w:r>
    </w:p>
    <w:p>
      <w:pPr>
        <w:pStyle w:val="4"/>
        <w:ind w:left="0"/>
      </w:pPr>
      <w:r>
        <w:fldChar w:fldCharType="begin"/>
      </w:r>
      <w:r>
        <w:instrText xml:space="preserve"> HYPERLINK \l "sec-4" </w:instrText>
      </w:r>
      <w:r>
        <w:fldChar w:fldCharType="separate"/>
      </w:r>
      <w:r>
        <w:rPr>
          <w:rFonts w:hint="eastAsia"/>
        </w:rPr>
        <w:t>四、风险评估与应对</w:t>
      </w:r>
      <w:r>
        <w:fldChar w:fldCharType="end"/>
      </w:r>
      <w:r>
        <w:tab/>
      </w:r>
      <w:r>
        <w:fldChar w:fldCharType="begin"/>
      </w:r>
      <w:r>
        <w:instrText xml:space="preserve"> PAGEREF sec-4 \h </w:instrText>
      </w:r>
      <w:r>
        <w:fldChar w:fldCharType="separate"/>
      </w:r>
      <w:r>
        <w:t>10</w:t>
      </w:r>
      <w:r>
        <w:fldChar w:fldCharType="end"/>
      </w:r>
    </w:p>
    <w:p>
      <w:pPr>
        <w:pStyle w:val="4"/>
        <w:ind w:left="0"/>
      </w:pPr>
      <w:r>
        <w:fldChar w:fldCharType="begin"/>
      </w:r>
      <w:r>
        <w:instrText xml:space="preserve"> HYPERLINK \l "sec-5" </w:instrText>
      </w:r>
      <w:r>
        <w:fldChar w:fldCharType="separate"/>
      </w:r>
      <w:r>
        <w:rPr>
          <w:rFonts w:hint="eastAsia"/>
        </w:rPr>
        <w:t>五、结论与建议</w:t>
      </w:r>
      <w:r>
        <w:fldChar w:fldCharType="end"/>
      </w:r>
      <w:r>
        <w:tab/>
      </w:r>
      <w:r>
        <w:fldChar w:fldCharType="begin"/>
      </w:r>
      <w:r>
        <w:instrText xml:space="preserve"> PAGEREF sec-5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sectPr>
          <w:pgSz w:w="11906" w:h="16838"/>
          <w:pgMar w:top="1440" w:right="1800" w:bottom="1440" w:left="1800" w:header="851" w:footer="992" w:gutter="0"/>
        </w:sectPr>
      </w:pPr>
    </w:p>
    <w:p>
      <w:pPr>
        <w:pStyle w:val="2"/>
        <w:keepNext/>
        <w:keepLines/>
        <w:pBdr>
          <w:bottom w:val="single" w:color="1565C0" w:sz="12" w:space="3"/>
        </w:pBdr>
        <w:spacing w:before="480" w:beforeAutospacing="1" w:after="192" w:afterAutospacing="1" w:line="384" w:lineRule="auto"/>
        <w:jc w:val="left"/>
        <w:outlineLvl w:val="1"/>
        <w:rPr>
          <w:color w:val="1A237E"/>
          <w:sz w:val="32"/>
          <w:szCs w:val="32"/>
        </w:rPr>
      </w:pPr>
      <w:bookmarkStart w:id="0" w:name="sec-1"/>
      <w:r>
        <w:rPr>
          <w:rFonts w:hint="eastAsia" w:ascii="微软雅黑" w:hAnsi="微软雅黑" w:eastAsia="微软雅黑" w:cs="微软雅黑"/>
          <w:b/>
          <w:color w:val="1A237E"/>
          <w:sz w:val="32"/>
        </w:rPr>
        <w:t>一、项目背景与需求理解</w:t>
      </w:r>
      <w:bookmarkEnd w:id="0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本章先还原客户需求的完整面貌，再辨析其本质与内部前期理解的差异，最后落地为可核对的单 task 交付物清单，作为后续可行性、产能与报价评估的共同基础。</w:t>
      </w:r>
    </w:p>
    <w:p>
      <w:pPr>
        <w:pStyle w:val="3"/>
        <w:keepNext/>
        <w:keepLines/>
        <w:numPr>
          <w:ilvl w:val="0"/>
          <w:numId w:val="1"/>
        </w:numPr>
        <w:spacing w:before="240" w:beforeAutospacing="1" w:after="192" w:afterAutospacing="1" w:line="384" w:lineRule="auto"/>
        <w:jc w:val="left"/>
        <w:outlineLvl w:val="2"/>
        <w:rPr>
          <w:rFonts w:hint="eastAsia" w:ascii="微软雅黑" w:hAnsi="微软雅黑" w:eastAsia="微软雅黑" w:cs="微软雅黑"/>
          <w:b/>
          <w:color w:val="1565C0"/>
          <w:sz w:val="26"/>
        </w:rPr>
      </w:pPr>
      <w:bookmarkStart w:id="1" w:name="sec-1-1"/>
      <w:r>
        <w:rPr>
          <w:rFonts w:hint="eastAsia" w:ascii="微软雅黑" w:hAnsi="微软雅黑" w:eastAsia="微软雅黑" w:cs="微软雅黑"/>
          <w:b/>
          <w:color w:val="1565C0"/>
          <w:sz w:val="26"/>
        </w:rPr>
        <w:t>客户需求概述</w:t>
      </w:r>
      <w:bookmarkEnd w:id="1"/>
    </w:p>
    <w:p>
      <w:pPr>
        <w:spacing w:after="192" w:line="384" w:lineRule="auto"/>
        <w:jc w:val="both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客户原始需求：</w:t>
      </w:r>
    </w:p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856" w:type="dxa"/>
          </w:tcPr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生成式 AI 安全代码评测需求，请评估是否能做：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1. 客户在开发静态代码扫描器，主要检测“敏感信息泄露”和“过度代理权限／自主行为”两类风险。先需要5个代码仓样本task做评估，后续预计扩展到几百个；按 task 报价，每个 task 是一个独立标注的仓库变体。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2. 每个样本需要一个可编译或可运行的小型仓库，包含源码、配置、固定版本的依赖、安全的合成测试数据、安全上下文说明，以及可重复得到相同结果的测试。需提供明确的构建／测试命令，并在干净环境验证。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3. 扫描器只看静态代码和仓库材料，不使用运行时数据；但交付仍需要可运行的测试。标准答案、风险标签、漏洞／修复状态、预期结果及判定依据要单独提供，不能暴露在扫描输入里。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4. 样本既要有真正存在风险的案例，也要包含部分／完整防护、无风险，以及容易误判的复杂负例。最好能提供同一场景的正负对照版本，只改变影响安全判断的关键条件。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5. 标注需要说明风险根因、受影响资产、完整触发路径、防护措施及有效性、剩余风险和修复建议。不能仅因为代码里有敏感信息或高权限工具就判定有漏洞，必须说明泄露或越权操作如何实际发生。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6. 需要机器可读的 JSON 元数据和稳定样本 ID，说明角色、任务范围、信任边界、允许的数据／操作及审批规则等。样本可自行构造或基于开源项目改编；后者需附来源、commit、许可证和修改说明，并提供审核／质检记录。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补充：客户要的是用于 AI 安全评测的小型、可运行的代码仓库样例：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&gt;  每个 task 对应一个具体场景和独立标注的版本。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&gt;  不一定是五套完整的商业项目源码。可以专门构造，也可以基于开源项目改编，文档里也允许基于同一应用做不同风险／防护版本。</w:t>
            </w:r>
          </w:p>
          <w:p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&gt;  目前具体交付日期和验收门槛还未确定，后续会细化。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&gt;  请评估是否能做、月产能、单个task价格、5个样例的给到时间（如果5个觉得比较多，告诉可提供的数量）。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spacing w:after="192" w:line="384" w:lineRule="auto"/>
        <w:jc w:val="both"/>
        <w:rPr>
          <w:rFonts w:hint="eastAsia" w:ascii="宋体" w:hAnsi="宋体" w:eastAsia="宋体" w:cs="宋体"/>
          <w:color w:val="212121"/>
          <w:sz w:val="24"/>
          <w:lang w:val="en-US" w:eastAsia="zh-CN"/>
        </w:rPr>
      </w:pPr>
    </w:p>
    <w:p>
      <w:pPr>
        <w:spacing w:after="192" w:line="384" w:lineRule="auto"/>
        <w:jc w:val="both"/>
        <w:rPr>
          <w:rFonts w:hint="eastAsia" w:ascii="宋体" w:hAnsi="宋体" w:eastAsia="宋体" w:cs="宋体"/>
          <w:b/>
          <w:bCs/>
          <w:color w:val="212121"/>
          <w:sz w:val="24"/>
        </w:rPr>
      </w:pPr>
      <w:r>
        <w:rPr>
          <w:rFonts w:hint="eastAsia" w:ascii="宋体" w:hAnsi="宋体" w:eastAsia="宋体" w:cs="宋体"/>
          <w:b/>
          <w:bCs/>
          <w:color w:val="212121"/>
          <w:sz w:val="24"/>
          <w:lang w:val="en-US" w:eastAsia="zh-CN"/>
        </w:rPr>
        <w:t>概要分析：</w:t>
      </w:r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客户正在开发一款面向生成式 AI 应用代码的静态代码扫描器，核心检测两类风险：一是</w:t>
      </w:r>
      <w:r>
        <w:rPr>
          <w:rFonts w:hint="eastAsia" w:ascii="宋体" w:hAnsi="宋体" w:eastAsia="宋体" w:cs="宋体"/>
          <w:b/>
          <w:color w:val="212121"/>
          <w:sz w:val="24"/>
        </w:rPr>
        <w:t>敏感信息泄露</w:t>
      </w:r>
      <w:r>
        <w:rPr>
          <w:rFonts w:hint="eastAsia" w:ascii="宋体" w:hAnsi="宋体" w:eastAsia="宋体" w:cs="宋体"/>
          <w:color w:val="212121"/>
          <w:sz w:val="24"/>
        </w:rPr>
        <w:t>（secrets leakage / data exposure），二是</w:t>
      </w:r>
      <w:r>
        <w:rPr>
          <w:rFonts w:hint="eastAsia" w:ascii="宋体" w:hAnsi="宋体" w:eastAsia="宋体" w:cs="宋体"/>
          <w:b/>
          <w:color w:val="212121"/>
          <w:sz w:val="24"/>
        </w:rPr>
        <w:t>过度代理权限与自主行为</w:t>
      </w:r>
      <w:r>
        <w:rPr>
          <w:rFonts w:hint="eastAsia" w:ascii="宋体" w:hAnsi="宋体" w:eastAsia="宋体" w:cs="宋体"/>
          <w:color w:val="212121"/>
          <w:sz w:val="24"/>
        </w:rPr>
        <w:t>（excessive agency / autonomous action）。为评测该扫描器的检出能力与误报控制水平，客户需要一套高质量的评测基准样本库：每个 task 对应一个具体场景，是一个独立标注的仓库变体；首期为 5 个样本用于评估合作方能力，后续预计扩展至几百个。</w:t>
      </w:r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每个样本的交付要求可归纳为四个层面：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可运行层</w:t>
      </w:r>
      <w:r>
        <w:rPr>
          <w:rFonts w:hint="eastAsia" w:ascii="宋体" w:hAnsi="宋体" w:eastAsia="宋体" w:cs="宋体"/>
          <w:color w:val="212121"/>
          <w:sz w:val="24"/>
        </w:rPr>
        <w:t>：一个可编译或可运行的小型代码仓库，包含源码、配置、固定版本的依赖、安全的合成测试数据、安全上下文说明，以及可重复得到相同结果的测试，并附明确的构建／测试命令，在干净环境中验证通过。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标注层</w:t>
      </w:r>
      <w:r>
        <w:rPr>
          <w:rFonts w:hint="eastAsia" w:ascii="宋体" w:hAnsi="宋体" w:eastAsia="宋体" w:cs="宋体"/>
          <w:color w:val="212121"/>
          <w:sz w:val="24"/>
        </w:rPr>
        <w:t>：标准答案、风险标签、漏洞／修复状态、预期结果及判定依据，单独提供，不得暴露在扫描输入中。标注需说明风险根因、受影响资产、完整触发路径、防护措施及有效性、剩余风险和修复建议。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设计层</w:t>
      </w:r>
      <w:r>
        <w:rPr>
          <w:rFonts w:hint="eastAsia" w:ascii="宋体" w:hAnsi="宋体" w:eastAsia="宋体" w:cs="宋体"/>
          <w:color w:val="212121"/>
          <w:sz w:val="24"/>
        </w:rPr>
        <w:t>：样本须覆盖真阳性（真实风险）、部分防护、完整防护、无风险以及容易误判的复杂负例；最好提供同一场景的正负对照版本，只改变影响安全判断的关键条件。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元数据层</w:t>
      </w:r>
      <w:r>
        <w:rPr>
          <w:rFonts w:hint="eastAsia" w:ascii="宋体" w:hAnsi="宋体" w:eastAsia="宋体" w:cs="宋体"/>
          <w:color w:val="212121"/>
          <w:sz w:val="24"/>
        </w:rPr>
        <w:t>：机器可读的 JSON 元数据与稳定样本 ID，说明角色、任务范围、信任边界、允许的数据／操作及审批规则；样本可自研构造或基于开源项目改编，后者需附来源、commit、许可证、修改说明及审核／质检记录。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2" w:name="sec-1-2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（二）需求本质辨析</w:t>
      </w:r>
      <w:bookmarkEnd w:id="2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内部前期理解将该需求定位为"为扫描器提供训练数据"，这一理解方向基本正确（寻找合适的开源项目并定向修改代码以触发两类风险），但有两处关键偏差需要修正：</w:t>
      </w:r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其一，</w:t>
      </w:r>
      <w:r>
        <w:rPr>
          <w:rFonts w:hint="eastAsia" w:ascii="宋体" w:hAnsi="宋体" w:eastAsia="宋体" w:cs="宋体"/>
          <w:b/>
          <w:color w:val="212121"/>
          <w:sz w:val="24"/>
        </w:rPr>
        <w:t>这不是训练数据，而是评测基准（测试集）</w:t>
      </w:r>
      <w:r>
        <w:rPr>
          <w:rFonts w:hint="eastAsia" w:ascii="宋体" w:hAnsi="宋体" w:eastAsia="宋体" w:cs="宋体"/>
          <w:color w:val="212121"/>
          <w:sz w:val="24"/>
        </w:rPr>
        <w:t>。训练数据可以容忍一定比例的标注噪声，而评测样本的标注答案就是金标准（ground truth）——任何一处错误标注都会直接污染客户扫描器的评测指标，进而引发验收争议。因此本项目的成败核心在于</w:t>
      </w:r>
      <w:r>
        <w:rPr>
          <w:rFonts w:hint="eastAsia" w:ascii="宋体" w:hAnsi="宋体" w:eastAsia="宋体" w:cs="宋体"/>
          <w:b/>
          <w:color w:val="212121"/>
          <w:sz w:val="24"/>
        </w:rPr>
        <w:t>标注质量与判定严谨性</w:t>
      </w:r>
      <w:r>
        <w:rPr>
          <w:rFonts w:hint="eastAsia" w:ascii="宋体" w:hAnsi="宋体" w:eastAsia="宋体" w:cs="宋体"/>
          <w:color w:val="212121"/>
          <w:sz w:val="24"/>
        </w:rPr>
        <w:t>，而非产出数量，质量门槛显著高于普通数据标注业务。</w:t>
      </w:r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其二，</w:t>
      </w:r>
      <w:r>
        <w:rPr>
          <w:rFonts w:hint="eastAsia" w:ascii="宋体" w:hAnsi="宋体" w:eastAsia="宋体" w:cs="宋体"/>
          <w:b/>
          <w:color w:val="212121"/>
          <w:sz w:val="24"/>
        </w:rPr>
        <w:t>"注入风险"只是手段之一，不是全部</w:t>
      </w:r>
      <w:r>
        <w:rPr>
          <w:rFonts w:hint="eastAsia" w:ascii="宋体" w:hAnsi="宋体" w:eastAsia="宋体" w:cs="宋体"/>
          <w:color w:val="212121"/>
          <w:sz w:val="24"/>
        </w:rPr>
        <w:t>。客户明确要求样本包含正例、负例、部分防护和复杂负例，并且要求判定必须基于"泄露或越权如何实际发生"的完整触发路径。这意味着大量工作在于</w:t>
      </w:r>
      <w:r>
        <w:rPr>
          <w:rFonts w:hint="eastAsia" w:ascii="宋体" w:hAnsi="宋体" w:eastAsia="宋体" w:cs="宋体"/>
          <w:b/>
          <w:color w:val="212121"/>
          <w:sz w:val="24"/>
        </w:rPr>
        <w:t>威胁建模与可控实验设计</w:t>
      </w:r>
      <w:r>
        <w:rPr>
          <w:rFonts w:hint="eastAsia" w:ascii="宋体" w:hAnsi="宋体" w:eastAsia="宋体" w:cs="宋体"/>
          <w:color w:val="212121"/>
          <w:sz w:val="24"/>
        </w:rPr>
        <w:t>（例如同一场景下只改变"密钥来源"或"审批开关"一个条件），单纯的代码改写能力不足以支撑交付。</w:t>
      </w:r>
    </w:p>
    <w:tbl>
      <w:tblPr>
        <w:tblStyle w:val="6"/>
        <w:tblW w:w="8306" w:type="dxa"/>
        <w:tblInd w:w="0" w:type="dxa"/>
        <w:tblBorders>
          <w:top w:val="none" w:color="auto" w:sz="8" w:space="0"/>
          <w:left w:val="none" w:color="auto" w:sz="8" w:space="0"/>
          <w:bottom w:val="none" w:color="auto" w:sz="8" w:space="0"/>
          <w:right w:val="non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blPrEx>
          <w:tblBorders>
            <w:top w:val="none" w:color="auto" w:sz="8" w:space="0"/>
            <w:left w:val="none" w:color="auto" w:sz="8" w:space="0"/>
            <w:bottom w:val="none" w:color="auto" w:sz="8" w:space="0"/>
            <w:right w:val="none" w:color="auto" w:sz="8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06" w:type="dxa"/>
            <w:tcBorders>
              <w:top w:val="nil"/>
              <w:left w:val="single" w:color="1565C0" w:sz="24" w:space="0"/>
              <w:bottom w:val="nil"/>
              <w:right w:val="nil"/>
            </w:tcBorders>
            <w:shd w:val="clear" w:color="auto" w:fill="F5F7FA"/>
            <w:vAlign w:val="center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/>
                <w:color w:val="212121"/>
                <w:sz w:val="24"/>
              </w:rPr>
              <w:t>定位修正：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本项目应按"安全评测基准数据集构建"立项，而非通用数据标注——人员配置、质量流程与定价逻辑均以安全工程能力为基准。</w:t>
            </w:r>
          </w:p>
        </w:tc>
      </w:tr>
    </w:tbl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3" w:name="sec-1-3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（三）单个 task 的交付物清单</w:t>
      </w:r>
      <w:bookmarkEnd w:id="3"/>
    </w:p>
    <w:tbl>
      <w:tblPr>
        <w:tblStyle w:val="6"/>
        <w:tblW w:w="8304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序号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交付物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说明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代码仓库（扫描输入包）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源码、配置、固定版本依赖清单、合成测试数据、安全上下文说明（不含任何答案信息）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构建／测试说明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明确的构建与测试命令，附干净环境（Docker/CI）验证记录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可重复测试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固定随机种子、mock 外部服务，保证相同输入得到相同结果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标注答案包（独立交付）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风险标签、漏洞／修复状态、根因、受影响资产、触发路径、防护有效性、剩余风险、修复建议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JSON 元数据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稳定样本 ID、角色、任务范围、信任边界、允许的数据／操作、审批规则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溯源与质检记录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自研说明，或开源来源 URL、commit、许可证、修改说明、双人质检记录</w:t>
            </w:r>
          </w:p>
        </w:tc>
      </w:tr>
    </w:tbl>
    <w:p>
      <w:pPr>
        <w:pStyle w:val="2"/>
        <w:keepNext/>
        <w:keepLines/>
        <w:pBdr>
          <w:bottom w:val="single" w:color="1565C0" w:sz="12" w:space="3"/>
        </w:pBdr>
        <w:spacing w:before="480" w:beforeAutospacing="1" w:after="192" w:afterAutospacing="1" w:line="384" w:lineRule="auto"/>
        <w:jc w:val="left"/>
        <w:outlineLvl w:val="1"/>
        <w:rPr>
          <w:color w:val="1A237E"/>
          <w:sz w:val="32"/>
          <w:szCs w:val="32"/>
        </w:rPr>
      </w:pPr>
      <w:bookmarkStart w:id="4" w:name="sec-2"/>
      <w:r>
        <w:rPr>
          <w:rFonts w:hint="eastAsia" w:ascii="微软雅黑" w:hAnsi="微软雅黑" w:eastAsia="微软雅黑" w:cs="微软雅黑"/>
          <w:b/>
          <w:color w:val="1A237E"/>
          <w:sz w:val="32"/>
        </w:rPr>
        <w:t>二、可行性评估</w:t>
      </w:r>
      <w:bookmarkEnd w:id="4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本章从总体结论、风险落地路径、构造方式、可运行性保障、关键难点与团队能力六个方面论证项目的可承接性，并识别必须提前控制的难点。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5" w:name="sec-2-1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（一）总体结论</w:t>
      </w:r>
      <w:bookmarkEnd w:id="5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本项目可以承接。</w:t>
      </w:r>
      <w:r>
        <w:rPr>
          <w:rFonts w:hint="eastAsia" w:ascii="宋体" w:hAnsi="宋体" w:eastAsia="宋体" w:cs="宋体"/>
          <w:color w:val="212121"/>
          <w:sz w:val="24"/>
        </w:rPr>
        <w:t>该需求属于"安全工程 + 评测数据集构建"的交叉领域，技术路线清晰、无不可克服的障碍；但它与常规数据标注业务的能力模型差异较大，核心依赖</w:t>
      </w:r>
      <w:r>
        <w:rPr>
          <w:rFonts w:hint="eastAsia" w:ascii="宋体" w:hAnsi="宋体" w:eastAsia="宋体" w:cs="宋体"/>
          <w:b/>
          <w:color w:val="212121"/>
          <w:sz w:val="24"/>
        </w:rPr>
        <w:t>具备威胁建模能力的安全工程人员</w:t>
      </w:r>
      <w:r>
        <w:rPr>
          <w:rFonts w:hint="eastAsia" w:ascii="宋体" w:hAnsi="宋体" w:eastAsia="宋体" w:cs="宋体"/>
          <w:color w:val="212121"/>
          <w:sz w:val="24"/>
        </w:rPr>
        <w:t>，而非通用标注人力。建议以小型专项小组形式承接，并采用"首批试点 + 滚动扩产"的合作节奏。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6" w:name="sec-2-2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（二）两类风险的技术落地路径</w:t>
      </w:r>
      <w:bookmarkEnd w:id="6"/>
    </w:p>
    <w:tbl>
      <w:tblPr>
        <w:tblStyle w:val="6"/>
        <w:tblW w:w="8304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风险类别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典型可注入场景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静态可判定性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敏感信息泄露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硬编码 API 密钥／数据库口令并随仓库提交；日志与异常堆栈中输出用户 PII；LLM 应用将用户数据拼入 prompt 或写入对话日志；工具返回结果未脱敏即存储／回显；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.env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等配置文件误入版本控制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高，均有成熟模式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过度代理权限／自主行为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Agent 具备任意 shell 执行权限且无审批环节；文件系统全盘读写且无路径白名单；自主循环缺少终止／熔断条件；声明的权限边界与实际代码不一致；工具权限声明缺失导致可被间接 prompt 注入滥用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中高，需精心设计使风险可从静态材料推断</w:t>
            </w:r>
          </w:p>
        </w:tc>
      </w:tr>
    </w:tbl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两类风险均有大量公开研究（OWASP LLM Top 10、MITRE ATLAS 等）与真实漏洞模式可供参照，场景库设计不存在原创性障碍。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7" w:name="sec-2-3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（三）样本构造方式：自研为主、开源改编为辅</w:t>
      </w:r>
      <w:bookmarkEnd w:id="7"/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自研构造（建议占比 60%–70%）</w:t>
      </w:r>
      <w:r>
        <w:rPr>
          <w:rFonts w:hint="eastAsia" w:ascii="宋体" w:hAnsi="宋体" w:eastAsia="宋体" w:cs="宋体"/>
          <w:color w:val="212121"/>
          <w:sz w:val="24"/>
        </w:rPr>
        <w:t>：构造千行级小型仓库（如一个带工具调用的 LLM 客服应用、一个数据处理脚本服务），体量可控、风险点位置精确、正负对照实现成本最低，是负例与对照样本的首选载体。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开源项目改编（建议占比 30%–40%）</w:t>
      </w:r>
      <w:r>
        <w:rPr>
          <w:rFonts w:hint="eastAsia" w:ascii="宋体" w:hAnsi="宋体" w:eastAsia="宋体" w:cs="宋体"/>
          <w:color w:val="212121"/>
          <w:sz w:val="24"/>
        </w:rPr>
        <w:t>：选取 MIT／Apache-2.0 等宽松许可证的小型真实项目，在其上注入或修复风险点，提升样本真实感。需逐项完成许可证审查、来源与 commit 锁定、修改说明文档，规避 GPL 等传染性许可证项目。</w:t>
      </w:r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两种方式均在客户需求允许范围内，混合使用可在质量、真实感与成本之间取得平衡。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8" w:name="sec-2-4"/>
      <w:r>
        <w:rPr>
          <w:rFonts w:hint="eastAsia" w:ascii="微软雅黑" w:hAnsi="微软雅黑" w:eastAsia="微软雅黑" w:cs="微软雅黑"/>
          <w:b/>
          <w:color w:val="1565C0"/>
          <w:sz w:val="26"/>
        </w:rPr>
        <w:t>（四）可运行性与可重复性保障</w:t>
      </w:r>
      <w:bookmarkEnd w:id="8"/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依赖固定</w:t>
      </w:r>
      <w:r>
        <w:rPr>
          <w:rFonts w:hint="eastAsia" w:ascii="宋体" w:hAnsi="宋体" w:eastAsia="宋体" w:cs="宋体"/>
          <w:color w:val="212121"/>
          <w:sz w:val="24"/>
        </w:rPr>
        <w:t>：以 lockfile（</w:t>
      </w:r>
      <w:r>
        <w:rPr>
          <w:rFonts w:ascii="Consolas" w:hAnsi="Consolas" w:eastAsia="Consolas" w:cs="Consolas"/>
          <w:color w:val="00897B"/>
          <w:sz w:val="20"/>
        </w:rPr>
        <w:t>requirements.txt</w:t>
      </w:r>
      <w:r>
        <w:rPr>
          <w:rFonts w:hint="eastAsia" w:ascii="宋体" w:hAnsi="宋体" w:eastAsia="宋体" w:cs="宋体"/>
          <w:color w:val="212121"/>
          <w:sz w:val="24"/>
        </w:rPr>
        <w:t xml:space="preserve"> 精确版本／</w:t>
      </w:r>
      <w:r>
        <w:rPr>
          <w:rFonts w:ascii="Consolas" w:hAnsi="Consolas" w:eastAsia="Consolas" w:cs="Consolas"/>
          <w:color w:val="00897B"/>
          <w:sz w:val="20"/>
        </w:rPr>
        <w:t>package-lock.json</w:t>
      </w:r>
      <w:r>
        <w:rPr>
          <w:rFonts w:hint="eastAsia" w:ascii="宋体" w:hAnsi="宋体" w:eastAsia="宋体" w:cs="宋体"/>
          <w:color w:val="212121"/>
          <w:sz w:val="24"/>
        </w:rPr>
        <w:t>）锁定依赖，必要时提供 Dockerfile；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合成数据</w:t>
      </w:r>
      <w:r>
        <w:rPr>
          <w:rFonts w:hint="eastAsia" w:ascii="宋体" w:hAnsi="宋体" w:eastAsia="宋体" w:cs="宋体"/>
          <w:color w:val="212121"/>
          <w:sz w:val="24"/>
        </w:rPr>
        <w:t>：全部使用伪造密钥与合成 PII，杜绝任何真实凭据与个人信息进入样本；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确定性测试</w:t>
      </w:r>
      <w:r>
        <w:rPr>
          <w:rFonts w:hint="eastAsia" w:ascii="宋体" w:hAnsi="宋体" w:eastAsia="宋体" w:cs="宋体"/>
          <w:color w:val="212121"/>
          <w:sz w:val="24"/>
        </w:rPr>
        <w:t>：外部 API 一律 mock，随机过程固定种子，保证干净环境（容器/全新 CI runner）中"相同命令得到相同结果"；</w:t>
      </w:r>
    </w:p>
    <w:p>
      <w:pPr>
        <w:numPr>
          <w:ilvl w:val="0"/>
          <w:numId w:val="2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验证流程</w:t>
      </w:r>
      <w:r>
        <w:rPr>
          <w:rFonts w:hint="eastAsia" w:ascii="宋体" w:hAnsi="宋体" w:eastAsia="宋体" w:cs="宋体"/>
          <w:color w:val="212121"/>
          <w:sz w:val="24"/>
        </w:rPr>
        <w:t>：交付前在全新容器中执行一次完整构建＋测试流水线，留存验证记录。</w:t>
      </w:r>
    </w:p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9" w:name="sec-2-5"/>
      <w:r>
        <w:rPr>
          <w:rFonts w:hint="eastAsia" w:ascii="微软雅黑" w:hAnsi="微软雅黑" w:eastAsia="微软雅黑" w:cs="微软雅黑"/>
          <w:b/>
          <w:color w:val="1565C0"/>
          <w:sz w:val="26"/>
        </w:rPr>
        <w:t>（五）关键难点与应对措施</w:t>
      </w:r>
      <w:bookmarkEnd w:id="9"/>
    </w:p>
    <w:tbl>
      <w:tblPr>
        <w:tblStyle w:val="6"/>
        <w:tblW w:w="8304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难点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具体表现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应对措施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判定严谨性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客户要求不能仅因"出现敏感信息或高权限工具"即判漏洞，必须给出泄露／越权的实际发生路径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标注人员须具备安全研究背景；建立标注规范（含判定模板与反例清单）；双人交叉标注＋第三人仲裁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静态可判定边界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扫描器只看静态代码与仓库材料，标注必须确保风险仅凭静态材料可推断，运行时验证仅作交叉佐证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场景设计阶段即审查"静态可推断性"，不可静态判定的场景一律剔除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答案与输入隔离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标准答案若混入仓库材料，即造成"泄题"，评测失效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交付分为"扫描输入包"与"答案包"两个物理分离的产物；建立发布前自动检查（扫描输入包中不得出现答案文件、标签关键词）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验收标准未定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FF0000"/>
                <w:sz w:val="20"/>
              </w:rPr>
              <w:t>客户尚未确定验收门槛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与交付日期，存在返工风险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首批采取"场景设计文档先行评审、确认后再构造"的里程碑机制，将返工控制在设计阶段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正负对照设计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需要精确控制变量，只改变影响安全判断的关键条件</w:t>
            </w:r>
          </w:p>
        </w:tc>
        <w:tc>
          <w:tcPr>
            <w:tcW w:w="2768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建立对照变体的代码 diff 审查清单，确保条件外零差异</w:t>
            </w:r>
          </w:p>
        </w:tc>
      </w:tr>
    </w:tbl>
    <w:p>
      <w:pPr>
        <w:pStyle w:val="3"/>
        <w:keepNext/>
        <w:keepLines/>
        <w:spacing w:before="240" w:beforeAutospacing="1" w:after="192" w:afterAutospacing="1" w:line="384" w:lineRule="auto"/>
        <w:jc w:val="left"/>
        <w:outlineLvl w:val="2"/>
        <w:rPr>
          <w:color w:val="1565C0"/>
          <w:sz w:val="32"/>
          <w:szCs w:val="32"/>
        </w:rPr>
      </w:pPr>
      <w:bookmarkStart w:id="10" w:name="sec-2-6"/>
      <w:r>
        <w:rPr>
          <w:rFonts w:hint="eastAsia" w:ascii="微软雅黑" w:hAnsi="微软雅黑" w:eastAsia="微软雅黑" w:cs="微软雅黑"/>
          <w:b/>
          <w:color w:val="1565C0"/>
          <w:sz w:val="26"/>
        </w:rPr>
        <w:t>（六）能力与团队要求</w:t>
      </w:r>
      <w:bookmarkEnd w:id="10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按月产能3-4个task，</w:t>
      </w:r>
      <w:r>
        <w:rPr>
          <w:rFonts w:hint="eastAsia" w:ascii="宋体" w:hAnsi="宋体" w:eastAsia="宋体" w:cs="宋体"/>
          <w:color w:val="212121"/>
          <w:sz w:val="24"/>
        </w:rPr>
        <w:t>承接本项目所需的最小团队配置为：</w:t>
      </w:r>
      <w:r>
        <w:rPr>
          <w:rFonts w:hint="eastAsia" w:ascii="宋体" w:hAnsi="宋体" w:eastAsia="宋体" w:cs="宋体"/>
          <w:b/>
          <w:color w:val="212121"/>
          <w:sz w:val="24"/>
        </w:rPr>
        <w:t>1 名项目经理兼</w:t>
      </w:r>
      <w:r>
        <w:rPr>
          <w:rFonts w:hint="eastAsia" w:ascii="宋体" w:hAnsi="宋体" w:eastAsia="宋体" w:cs="宋体"/>
          <w:b/>
          <w:color w:val="212121"/>
          <w:sz w:val="24"/>
          <w:lang w:val="en-US" w:eastAsia="zh-CN"/>
        </w:rPr>
        <w:t>代码开发兼质检</w:t>
      </w:r>
      <w:r>
        <w:rPr>
          <w:rFonts w:hint="eastAsia" w:ascii="宋体" w:hAnsi="宋体" w:eastAsia="宋体" w:cs="宋体"/>
          <w:b/>
          <w:color w:val="212121"/>
          <w:sz w:val="24"/>
          <w:lang w:eastAsia="zh-CN"/>
        </w:rPr>
        <w:t>，</w:t>
      </w:r>
      <w:r>
        <w:rPr>
          <w:rFonts w:hint="eastAsia" w:ascii="宋体" w:hAnsi="宋体" w:eastAsia="宋体" w:cs="宋体"/>
          <w:b/>
          <w:color w:val="212121"/>
          <w:sz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color w:val="212121"/>
          <w:sz w:val="24"/>
        </w:rPr>
        <w:t xml:space="preserve"> 名</w:t>
      </w:r>
      <w:r>
        <w:rPr>
          <w:rFonts w:hint="eastAsia" w:ascii="宋体" w:hAnsi="宋体" w:eastAsia="宋体" w:cs="宋体"/>
          <w:b/>
          <w:color w:val="212121"/>
          <w:sz w:val="24"/>
          <w:lang w:val="en-US" w:eastAsia="zh-CN"/>
        </w:rPr>
        <w:t>代码开发</w:t>
      </w:r>
      <w:r>
        <w:rPr>
          <w:rFonts w:hint="eastAsia" w:ascii="宋体" w:hAnsi="宋体" w:eastAsia="宋体" w:cs="宋体"/>
          <w:b/>
          <w:color w:val="212121"/>
          <w:sz w:val="24"/>
        </w:rPr>
        <w:t>工程师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按Python+JS评估，若有其他语言要求需要增加工程师数量）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>
      <w:pPr>
        <w:pStyle w:val="2"/>
        <w:keepNext/>
        <w:keepLines/>
        <w:pBdr>
          <w:bottom w:val="single" w:color="1565C0" w:sz="12" w:space="3"/>
        </w:pBdr>
        <w:spacing w:before="480" w:beforeAutospacing="1" w:after="192" w:afterAutospacing="1" w:line="384" w:lineRule="auto"/>
        <w:jc w:val="left"/>
        <w:outlineLvl w:val="1"/>
        <w:rPr>
          <w:color w:val="1A237E"/>
          <w:sz w:val="32"/>
          <w:szCs w:val="32"/>
        </w:rPr>
      </w:pPr>
      <w:bookmarkStart w:id="11" w:name="sec-3"/>
      <w:r>
        <w:rPr>
          <w:rFonts w:hint="eastAsia" w:ascii="微软雅黑" w:hAnsi="微软雅黑" w:eastAsia="微软雅黑" w:cs="微软雅黑"/>
          <w:b/>
          <w:color w:val="1A237E"/>
          <w:sz w:val="32"/>
        </w:rPr>
        <w:t>三、首批 5 个样例组合建议</w:t>
      </w:r>
      <w:bookmarkEnd w:id="11"/>
    </w:p>
    <w:tbl>
      <w:tblPr>
        <w:tblStyle w:val="6"/>
        <w:tblW w:w="8304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风险类别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样本设计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档位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T1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敏感信息泄露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真阳性：LLM 客服应用将用户 PII 写入对话日志且日志对外可读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T2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敏感信息泄露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正负对照：同一应用，负例为密钥硬编码入库，正例改为环境变量读取＋密钥轮换，仅此条件不同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T3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过度代理权限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真阳性：Agent 可无审批执行任意 shell 命令，且命令参数来源于不可信输入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T4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过度代理权限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复杂负例：存在高权限工具，但受路径白名单＋人工审批＋沙箱三重约束，预期为无风险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标准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T5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混合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基于开源项目改编：含部分防护的剩余风险场景（防护措施存在但有绕过路径），附完整溯源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复杂</w:t>
            </w:r>
          </w:p>
        </w:tc>
      </w:tr>
    </w:tbl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该组合覆盖两类风险、真阳性／负例／复杂负例／正负对照、自研与开源改编两种来源，能完整展示承接能力，也便于客户据此细化后续数百个样本的需求规格。</w:t>
      </w:r>
    </w:p>
    <w:p>
      <w:pPr>
        <w:pStyle w:val="2"/>
        <w:keepNext/>
        <w:keepLines/>
        <w:pBdr>
          <w:bottom w:val="single" w:color="1565C0" w:sz="12" w:space="3"/>
        </w:pBdr>
        <w:spacing w:before="480" w:beforeAutospacing="1" w:after="192" w:afterAutospacing="1" w:line="384" w:lineRule="auto"/>
        <w:jc w:val="left"/>
        <w:outlineLvl w:val="1"/>
        <w:rPr>
          <w:color w:val="1A237E"/>
          <w:sz w:val="32"/>
          <w:szCs w:val="32"/>
        </w:rPr>
      </w:pPr>
      <w:bookmarkStart w:id="12" w:name="sec-4"/>
      <w:r>
        <w:rPr>
          <w:rFonts w:hint="eastAsia" w:ascii="微软雅黑" w:hAnsi="微软雅黑" w:eastAsia="微软雅黑" w:cs="微软雅黑"/>
          <w:b/>
          <w:color w:val="1A237E"/>
          <w:sz w:val="32"/>
        </w:rPr>
        <w:t>四、风险评估与应对</w:t>
      </w:r>
      <w:bookmarkEnd w:id="12"/>
    </w:p>
    <w:tbl>
      <w:tblPr>
        <w:tblStyle w:val="6"/>
        <w:tblW w:w="8304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风险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影响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等级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jc w:val="left"/>
              <w:rPr>
                <w:b/>
                <w:bCs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237E"/>
                <w:sz w:val="20"/>
              </w:rPr>
              <w:t>应对措施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验收标准与交付日期未定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范围蔓延、返工、商务争议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立项后第一周与客户共同冻结验收框架；首批采用 M1 设计评审确认机制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标注判定争议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客户不认可"实际发生路径"论证，样本被判无效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高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标注规范先行；双人标注＋仲裁；判定依据引用公开标准（OWASP LLM Top 10 等）增强权威性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答案泄题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答案信息混入扫描输入，样本报废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双包物理分离＋发布前自动化检查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开源许可证合规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侵权或交付受阻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许可证白名单制度，逐项目审查并留档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产能爬坡不及预期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后续大批量订单交付延期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</w:t>
            </w:r>
          </w:p>
        </w:tc>
        <w:tc>
          <w:tcPr>
            <w:tcW w:w="207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模板库沉淀＋按订单滚动扩产，避免承诺超出稳态产能的排期</w:t>
            </w:r>
          </w:p>
        </w:tc>
      </w:tr>
    </w:tbl>
    <w:p>
      <w:pPr>
        <w:pStyle w:val="2"/>
        <w:keepNext/>
        <w:keepLines/>
        <w:pBdr>
          <w:bottom w:val="single" w:color="1565C0" w:sz="12" w:space="3"/>
        </w:pBdr>
        <w:spacing w:before="480" w:beforeAutospacing="1" w:after="192" w:afterAutospacing="1" w:line="384" w:lineRule="auto"/>
        <w:jc w:val="left"/>
        <w:outlineLvl w:val="1"/>
        <w:rPr>
          <w:color w:val="1A237E"/>
          <w:sz w:val="32"/>
          <w:szCs w:val="32"/>
        </w:rPr>
      </w:pPr>
      <w:bookmarkStart w:id="13" w:name="sec-5"/>
      <w:r>
        <w:rPr>
          <w:rFonts w:hint="eastAsia" w:ascii="微软雅黑" w:hAnsi="微软雅黑" w:eastAsia="微软雅黑" w:cs="微软雅黑"/>
          <w:b/>
          <w:color w:val="1A237E"/>
          <w:sz w:val="32"/>
        </w:rPr>
        <w:t>五、结论与建议</w:t>
      </w:r>
      <w:bookmarkEnd w:id="13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结论：本项目可承接。</w:t>
      </w:r>
      <w:r>
        <w:rPr>
          <w:rFonts w:hint="eastAsia" w:ascii="宋体" w:hAnsi="宋体" w:eastAsia="宋体" w:cs="宋体"/>
          <w:color w:val="212121"/>
          <w:sz w:val="24"/>
        </w:rPr>
        <w:t>核心能力依赖安全工程（威胁建模、代码审计）而非通用标注，建议以专项小组形式按"首批试点 + 滚动扩产"节奏推进。</w:t>
      </w:r>
    </w:p>
    <w:p>
      <w:pPr>
        <w:spacing w:after="192" w:line="384" w:lineRule="auto"/>
        <w:ind w:firstLine="480"/>
        <w:jc w:val="both"/>
        <w:rPr>
          <w:rFonts w:hint="eastAsia" w:ascii="宋体" w:hAnsi="宋体" w:eastAsia="宋体" w:cs="宋体"/>
          <w:color w:val="212121"/>
          <w:sz w:val="24"/>
        </w:rPr>
      </w:pPr>
      <w:r>
        <w:rPr>
          <w:rFonts w:hint="eastAsia" w:ascii="宋体" w:hAnsi="宋体" w:eastAsia="宋体" w:cs="宋体"/>
          <w:color w:val="212121"/>
          <w:sz w:val="24"/>
        </w:rPr>
        <w:t>核心结论数字汇总如下：</w:t>
      </w:r>
    </w:p>
    <w:tbl>
      <w:tblPr>
        <w:tblStyle w:val="6"/>
        <w:tblW w:w="8563" w:type="dxa"/>
        <w:tblInd w:w="0" w:type="dxa"/>
        <w:shd w:val="clear" w:color="212121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416"/>
        <w:gridCol w:w="1416"/>
        <w:gridCol w:w="1896"/>
        <w:gridCol w:w="24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7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616161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</w:rPr>
              <w:t>可行性结论</w:t>
            </w:r>
          </w:p>
        </w:tc>
        <w:tc>
          <w:tcPr>
            <w:tcW w:w="14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616161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</w:rPr>
              <w:t>样例交付</w:t>
            </w:r>
          </w:p>
        </w:tc>
        <w:tc>
          <w:tcPr>
            <w:tcW w:w="14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</w:rPr>
              <w:t>5 样例交付</w:t>
            </w:r>
          </w:p>
        </w:tc>
        <w:tc>
          <w:tcPr>
            <w:tcW w:w="189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616161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</w:rPr>
              <w:t>月产能</w:t>
            </w:r>
          </w:p>
        </w:tc>
        <w:tc>
          <w:tcPr>
            <w:tcW w:w="24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ascii="微软雅黑" w:hAnsi="微软雅黑" w:eastAsia="微软雅黑" w:cs="微软雅黑"/>
                <w:b/>
                <w:color w:val="616161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616161"/>
                <w:sz w:val="21"/>
                <w:szCs w:val="21"/>
                <w:lang w:val="en-US" w:eastAsia="zh-CN"/>
              </w:rPr>
              <w:t>单个task报价</w:t>
            </w:r>
          </w:p>
        </w:tc>
      </w:tr>
      <w:tr>
        <w:tblPrEx>
          <w:shd w:val="clear" w:color="212121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>
            <w:pPr>
              <w:jc w:val="center"/>
              <w:rPr>
                <w:color w:val="1565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>可承接</w:t>
            </w:r>
          </w:p>
        </w:tc>
        <w:tc>
          <w:tcPr>
            <w:tcW w:w="14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 xml:space="preserve"> 工作日</w:t>
            </w:r>
          </w:p>
        </w:tc>
        <w:tc>
          <w:tcPr>
            <w:tcW w:w="141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40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>工作日</w:t>
            </w:r>
          </w:p>
        </w:tc>
        <w:tc>
          <w:tcPr>
            <w:tcW w:w="189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>–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</w:rPr>
              <w:t xml:space="preserve"> 个 task</w:t>
            </w:r>
          </w:p>
          <w:p>
            <w:pPr>
              <w:jc w:val="center"/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(按2-5人评估)</w:t>
            </w:r>
          </w:p>
        </w:tc>
        <w:tc>
          <w:tcPr>
            <w:tcW w:w="24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212121" w:fill="auto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首个task 1.8万，</w:t>
            </w:r>
          </w:p>
          <w:p>
            <w:pPr>
              <w:jc w:val="left"/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2-5个task约1万/个</w:t>
            </w:r>
          </w:p>
          <w:p>
            <w:pPr>
              <w:jc w:val="left"/>
              <w:rPr>
                <w:rFonts w:hint="default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565C0"/>
                <w:sz w:val="21"/>
                <w:szCs w:val="21"/>
                <w:lang w:val="en-US" w:eastAsia="zh-CN"/>
              </w:rPr>
              <w:t>后续量大可再降</w:t>
            </w:r>
          </w:p>
        </w:tc>
      </w:tr>
    </w:tbl>
    <w:p>
      <w:pPr>
        <w:spacing w:line="240" w:lineRule="auto"/>
        <w:rPr>
          <w:color w:val="212121"/>
        </w:rPr>
      </w:pPr>
      <w:r>
        <w:rPr>
          <w:sz w:val="4"/>
        </w:rPr>
        <w:t xml:space="preserve"> </w:t>
      </w:r>
    </w:p>
    <w:p>
      <w:pPr>
        <w:spacing w:after="192" w:line="384" w:lineRule="auto"/>
        <w:jc w:val="both"/>
        <w:rPr>
          <w:rFonts w:hint="eastAsia" w:ascii="宋体" w:hAnsi="宋体" w:eastAsia="宋体" w:cs="宋体"/>
          <w:color w:val="212121"/>
          <w:sz w:val="24"/>
        </w:rPr>
      </w:pPr>
      <w:bookmarkStart w:id="14" w:name="_GoBack"/>
      <w:bookmarkEnd w:id="14"/>
    </w:p>
    <w:p>
      <w:pPr>
        <w:spacing w:after="192" w:line="384" w:lineRule="auto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配套建议：</w:t>
      </w:r>
    </w:p>
    <w:p>
      <w:pPr>
        <w:numPr>
          <w:ilvl w:val="0"/>
          <w:numId w:val="3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试点先行</w:t>
      </w:r>
      <w:r>
        <w:rPr>
          <w:rFonts w:hint="eastAsia" w:ascii="宋体" w:hAnsi="宋体" w:eastAsia="宋体" w:cs="宋体"/>
          <w:color w:val="212121"/>
          <w:sz w:val="24"/>
        </w:rPr>
        <w:t>：以第三章的 5 样本组合作为试点方案报价，试点验收通过后再谈数百个规模的框架协议与阶梯价格；</w:t>
      </w:r>
    </w:p>
    <w:p>
      <w:pPr>
        <w:numPr>
          <w:ilvl w:val="0"/>
          <w:numId w:val="3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SOW 尽早冻结</w:t>
      </w:r>
      <w:r>
        <w:rPr>
          <w:rFonts w:hint="eastAsia" w:ascii="宋体" w:hAnsi="宋体" w:eastAsia="宋体" w:cs="宋体"/>
          <w:color w:val="212121"/>
          <w:sz w:val="24"/>
        </w:rPr>
        <w:t>：将复杂度分档定义、语言覆盖、验收门槛、返工与仲裁条款、知识产权归属写入 SOW，当前价格仅为估算，上述变量对价格敏感；</w:t>
      </w:r>
    </w:p>
    <w:p>
      <w:pPr>
        <w:numPr>
          <w:ilvl w:val="0"/>
          <w:numId w:val="3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标注规范先行</w:t>
      </w:r>
      <w:r>
        <w:rPr>
          <w:rFonts w:hint="eastAsia" w:ascii="宋体" w:hAnsi="宋体" w:eastAsia="宋体" w:cs="宋体"/>
          <w:color w:val="212121"/>
          <w:sz w:val="24"/>
        </w:rPr>
        <w:t>：立项第一周产出标注判定规范与答案包模板，提交客户确认口径，这是控制最大风险（判定争议）的杠杆；</w:t>
      </w:r>
    </w:p>
    <w:p>
      <w:pPr>
        <w:numPr>
          <w:ilvl w:val="0"/>
          <w:numId w:val="3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隔离机制制度化</w:t>
      </w:r>
      <w:r>
        <w:rPr>
          <w:rFonts w:hint="eastAsia" w:ascii="宋体" w:hAnsi="宋体" w:eastAsia="宋体" w:cs="宋体"/>
          <w:color w:val="212121"/>
          <w:sz w:val="24"/>
        </w:rPr>
        <w:t>：扫描输入包与答案包的双包分离和自动化检查，从第一批开始就是硬流程；</w:t>
      </w:r>
    </w:p>
    <w:p>
      <w:pPr>
        <w:numPr>
          <w:ilvl w:val="0"/>
          <w:numId w:val="3"/>
        </w:numPr>
        <w:spacing w:after="84" w:line="384" w:lineRule="auto"/>
        <w:ind w:left="480"/>
        <w:jc w:val="both"/>
        <w:rPr>
          <w:color w:val="212121"/>
        </w:rPr>
      </w:pPr>
      <w:r>
        <w:rPr>
          <w:rFonts w:hint="eastAsia" w:ascii="宋体" w:hAnsi="宋体" w:eastAsia="宋体" w:cs="宋体"/>
          <w:b/>
          <w:color w:val="212121"/>
          <w:sz w:val="24"/>
        </w:rPr>
        <w:t>滚动扩产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hint="eastAsia" w:ascii="宋体" w:hAnsi="宋体" w:eastAsia="宋体" w:cs="宋体"/>
          <w:color w:val="212121"/>
          <w:sz w:val="24"/>
          <w:lang w:val="en-US" w:eastAsia="zh-CN"/>
        </w:rPr>
        <w:t>后续</w:t>
      </w:r>
      <w:r>
        <w:rPr>
          <w:rFonts w:hint="eastAsia" w:ascii="宋体" w:hAnsi="宋体" w:eastAsia="宋体" w:cs="宋体"/>
          <w:color w:val="212121"/>
          <w:sz w:val="24"/>
        </w:rPr>
        <w:t>数百个规模的产能以模板复用＋渐进招人实现。</w:t>
      </w:r>
    </w:p>
    <w:sectPr>
      <w:footerReference r:id="rId3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FD2E824"/>
    <w:multiLevelType w:val="singleLevel"/>
    <w:tmpl w:val="4FD2E82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D3145CD"/>
    <w:rsid w:val="24D0693F"/>
    <w:rsid w:val="41A71945"/>
    <w:rsid w:val="4C1102C0"/>
    <w:rsid w:val="4FF45AAC"/>
    <w:rsid w:val="5B3A0157"/>
    <w:rsid w:val="6A34684F"/>
    <w:rsid w:val="7BC421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Asci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paragraph" w:styleId="3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next w:val="1"/>
    <w:qFormat/>
    <w:uiPriority w:val="0"/>
    <w:pPr>
      <w:tabs>
        <w:tab w:val="right" w:leader="dot" w:pos="9072"/>
      </w:tabs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5">
    <w:name w:val="toc 2"/>
    <w:next w:val="1"/>
    <w:qFormat/>
    <w:uiPriority w:val="0"/>
    <w:pPr>
      <w:tabs>
        <w:tab w:val="right" w:leader="dot" w:pos="9072"/>
      </w:tabs>
      <w:spacing w:after="60" w:line="360" w:lineRule="auto"/>
      <w:ind w:left="42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table" w:styleId="7">
    <w:name w:val="Table Grid"/>
    <w:basedOn w:val="6"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Office_11.8.2.8411_F1E327BC-269C-435d-A152-05C5408002CA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2026-10-21T09:59:00Z</dcterms:created>
  <dc:creator>Administrator</dc:creator>
  <cp:lastModifiedBy>Administrator</cp:lastModifiedBy>
  <dcterms:modified xsi:type="dcterms:W3CDTF">2026-10-21T06:39:44Z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"01a15c23b9d3781d8a724522c0227b12", "ReservedCode1": "", "ContentPropagator": "00119111010856365494821B355", "PropagateID": "01a15c23b9d3781d8a724522c0227b12", "ReservedCode2": ""}}</vt:lpwstr>
  </property>
  <property fmtid="{D5CDD505-2E9C-101B-9397-08002B2CF9AE}" pid="3" name="KSOProductBuildVer">
    <vt:lpwstr>2052-11.8.2.8411</vt:lpwstr>
  </property>
</Properties>
</file>