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POFF 新增功能需求整理与可行性方案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核心原则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所有模块</w:t>
      </w:r>
      <w:r>
        <w:rPr>
          <w:rFonts w:eastAsia="等线" w:ascii="Arial" w:cs="Arial" w:hAnsi="Arial"/>
          <w:b w:val="true"/>
          <w:sz w:val="22"/>
        </w:rPr>
        <w:t>独立开关、松耦合</w:t>
      </w:r>
      <w:r>
        <w:rPr>
          <w:rFonts w:eastAsia="等线" w:ascii="Arial" w:cs="Arial" w:hAnsi="Arial"/>
          <w:sz w:val="22"/>
        </w:rPr>
        <w:t>，可单独启用/关闭；底层沿用原有局域网TCP通信框架，和原有并行关机、单独关机、倒计时、取消逻辑完全兼容；优先做“软件层增强，不硬啃显卡驱动级底层”，降低打包EXE、小白使用门槛。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原有基础能力回顾：局域网主机发现、账号校验、单主机关机、多机并行关机、10s倒计时+取消、串码配对。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新增需求清单（5项）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本机屏幕截屏（可发给局域网其他主机、本地保存）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副屏亮度调节（笔记本自带屏、外接显示器、无线副屏）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添加平板作为无线副屏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跨机键鼠漫游：硬件KVM切到主机显示器时，鼠标推到屏幕边缘，直接把键鼠控制权切到笔记本（笔记本后台正常运行、不抢占显示器画面）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黑洞悬浮侧边栏：局域网设备列表，文件拖拽投递，另一端直接打开修改、双向同步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逐项可行性 + 方案 + 风险 + 开关控制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功能1：屏幕截屏 ✅ 高可行，优先做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需求：</w:t>
      </w:r>
      <w:r>
        <w:rPr>
          <w:rFonts w:eastAsia="等线" w:ascii="Arial" w:cs="Arial" w:hAnsi="Arial"/>
          <w:sz w:val="22"/>
        </w:rPr>
        <w:t>一键截屏，可选：本地保存 / 发送到选中的局域网主机；支持全屏/选区截屏。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技术方案（Python）：</w:t>
      </w:r>
      <w:r>
        <w:rPr>
          <w:rFonts w:eastAsia="等线" w:ascii="Arial" w:cs="Arial" w:hAnsi="Arial"/>
          <w:sz w:val="22"/>
        </w:rPr>
        <w:t>pyautogui + Pillow 截屏，mss 性能更好（适合多屏）；TCP 把截图二进制流传到对端 POFF 程序，接收端弹窗预览、保存。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独立开关：</w:t>
      </w:r>
      <w:r>
        <w:rPr>
          <w:rFonts w:eastAsia="等线" w:ascii="Arial" w:cs="Arial" w:hAnsi="Arial"/>
          <w:sz w:val="22"/>
        </w:rPr>
        <w:t>【截屏模块】启用/关闭；可设置快捷键。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兼容性：</w:t>
      </w:r>
      <w:r>
        <w:rPr>
          <w:rFonts w:eastAsia="等线" w:ascii="Arial" w:cs="Arial" w:hAnsi="Arial"/>
          <w:sz w:val="22"/>
        </w:rPr>
        <w:t>不干扰键鼠漫游、黑洞文件传输；截图传输复用 POFF 原有局域网通信通道，不用新开端口。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限制：</w:t>
      </w:r>
      <w:r>
        <w:rPr>
          <w:rFonts w:eastAsia="等线" w:ascii="Arial" w:cs="Arial" w:hAnsi="Arial"/>
          <w:sz w:val="22"/>
        </w:rPr>
        <w:t>需要管理员权限，部分游戏全屏独占模式下截屏会黑屏（常规桌面场景没问题）。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功能2：副屏亮度调节 ⚠️ 部分可行，分两类显示器，要做降级提示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需求：</w:t>
      </w:r>
      <w:r>
        <w:rPr>
          <w:rFonts w:eastAsia="等线" w:ascii="Arial" w:cs="Arial" w:hAnsi="Arial"/>
          <w:sz w:val="22"/>
        </w:rPr>
        <w:t>统一滑块调节本机所有屏幕亮度（笔记本内屏、HDMI外接显示器、平板无线副屏）。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原理区分（重点，小白容易踩坑）：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笔记本自带屏幕：Windows 原生 WMI 接口直接控制，稳定。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HDMI 外接显示器：必须显示器支持 DDC/CI 协议，才可以软件调亮度；很多廉价显示器、老显示器不支持，Windows 没有通用 API，只能显示器实体按键调。方案：用 monitorcontrol Python 库封装 DDC 指令；探测设备是否支持，不支持就灰色滑块 + 提示文字。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平板无线副屏：不能直接控制平板硬件亮度；方案是：在 POFF 内发指令给平板端 Viewer，由平板 APP 自己调节屏幕亮度（不是 Windows 显卡层控制）。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独立开关：</w:t>
      </w:r>
      <w:r>
        <w:rPr>
          <w:rFonts w:eastAsia="等线" w:ascii="Arial" w:cs="Arial" w:hAnsi="Arial"/>
          <w:sz w:val="22"/>
        </w:rPr>
        <w:t>【亮度控制模块】总开关；并且每个显示器单独开关是否允许调节。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交互兼容：</w:t>
      </w:r>
      <w:r>
        <w:rPr>
          <w:rFonts w:eastAsia="等线" w:ascii="Arial" w:cs="Arial" w:hAnsi="Arial"/>
          <w:sz w:val="22"/>
        </w:rPr>
        <w:t>亮度滑块和设备列表绑定，在 POFF 主机详情面板里。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功能3：平板添加为副屏 ⚠️ 可行，推荐对接成熟驱动，不自己从零写画面编码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需求：</w:t>
      </w:r>
      <w:r>
        <w:rPr>
          <w:rFonts w:eastAsia="等线" w:ascii="Arial" w:cs="Arial" w:hAnsi="Arial"/>
          <w:sz w:val="22"/>
        </w:rPr>
        <w:t>在 POFF 里一键添加平板，把平板扩展为本机的第二屏幕（无线副屏）。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不建议：</w:t>
      </w:r>
      <w:r>
        <w:rPr>
          <w:rFonts w:eastAsia="等线" w:ascii="Arial" w:cs="Arial" w:hAnsi="Arial"/>
          <w:sz w:val="22"/>
        </w:rPr>
        <w:t>自己写画面编码推流（音视频编码、延迟、色彩、帧率坑极大，开发量爆炸）。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最佳方案：</w:t>
      </w:r>
      <w:r>
        <w:rPr>
          <w:rFonts w:eastAsia="等线" w:ascii="Arial" w:cs="Arial" w:hAnsi="Arial"/>
          <w:sz w:val="22"/>
        </w:rPr>
        <w:t>POFF 做调度控制层，对接成熟开源驱动 Spacedesk（Windows 端驱动，安卓/iOS 平板 APP）。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POFF 界面里【添加平板副屏】按钮；自动检测局域网内 Spacedesk 平板客户端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一键启动/关闭 Spacedesk 服务、连接平板；自动把平板注册进 Windows 显示列表，成为扩展屏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POFF 只做：设备发现、一键启停、记录平板 IP、绑定到亮度模块、绑定键鼠漫游屏幕布局；画面推流交给 Spacedesk 底层驱动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独立开关：</w:t>
      </w:r>
      <w:r>
        <w:rPr>
          <w:rFonts w:eastAsia="等线" w:ascii="Arial" w:cs="Arial" w:hAnsi="Arial"/>
          <w:sz w:val="22"/>
        </w:rPr>
        <w:t>【平板无线副屏模块】总开关；单独开关“开机自动连接平板”。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限制：</w:t>
      </w:r>
      <w:r>
        <w:rPr>
          <w:rFonts w:eastAsia="等线" w:ascii="Arial" w:cs="Arial" w:hAnsi="Arial"/>
          <w:sz w:val="22"/>
        </w:rPr>
        <w:t>平板必须安装 Spacedesk 客户端；5G Wi-Fi 更稳，2.4G 延迟高。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备选：</w:t>
      </w:r>
      <w:r>
        <w:rPr>
          <w:rFonts w:eastAsia="等线" w:ascii="Arial" w:cs="Arial" w:hAnsi="Arial"/>
          <w:sz w:val="22"/>
        </w:rPr>
        <w:t>如果想封闭生态，后续再自研简单推流版本；MVP 版本优先对接 Spacedesk，快速落地。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功能4：边缘键鼠漫游（软件KVM，和硬件KVM共存） ✅ 可行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核心场景：</w:t>
      </w:r>
      <w:r>
        <w:rPr>
          <w:rFonts w:eastAsia="等线" w:ascii="Arial" w:cs="Arial" w:hAnsi="Arial"/>
          <w:sz w:val="22"/>
        </w:rPr>
        <w:t>显示器被硬件KVM锁定在主机画面，笔记本不输出画面到显示器、后台跑模型；鼠标滑到屏幕边缘，键鼠控制权无缝切给笔记本，笔记本依然独立运行，不抢显示器信号。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原理：</w:t>
      </w:r>
      <w:r>
        <w:rPr>
          <w:rFonts w:eastAsia="等线" w:ascii="Arial" w:cs="Arial" w:hAnsi="Arial"/>
          <w:sz w:val="22"/>
        </w:rPr>
        <w:t>开源 Barrier（Synergy 开源分支）逻辑，POFF 内置轻量键鼠事件转发模块：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本机（当前 KVM 选中的主机）= 服务端，键鼠接在这台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笔记本 = 客户端，POFF 两端都运行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POFF 里绘制屏幕布局：主机屏幕、笔记本屏幕的相对位置；鼠标碰到屏幕边缘阈值 → 拦截鼠标、键盘事件，通过局域网 TCP 发给笔记本端 POFF 注入系统输入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关键点：视频画面仍然由硬件KVM管，这个模块只转发键鼠输入，不转发画面，正好贴合使用习惯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独立开关：</w:t>
      </w:r>
      <w:r>
        <w:rPr>
          <w:rFonts w:eastAsia="等线" w:ascii="Arial" w:cs="Arial" w:hAnsi="Arial"/>
          <w:sz w:val="22"/>
        </w:rPr>
        <w:t>【跨屏键鼠漫游模块】总开关；单独开关：鼠标边缘切换、热键切换、光标边界缓冲阈值。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边界冲突说明：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 KVM 实体切换（按键切 HDMI）和软件漫游是两套独立机制，可以共存；用户想用哪个用哪个。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漫游只控制键鼠，不能改变 KVM 的 HDMI 信号源，显示器画面不会自动跟着鼠标切到笔记本，完全符合预期：显示器停在主机，键鼠跑笔记本操作。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风险：</w:t>
      </w:r>
      <w:r>
        <w:rPr>
          <w:rFonts w:eastAsia="等线" w:ascii="Arial" w:cs="Arial" w:hAnsi="Arial"/>
          <w:sz w:val="22"/>
        </w:rPr>
        <w:t>需要管理员权限 + 全局钩子，部分杀毒会拦截输入注入；做签名/加信任提示。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功能5：侧边悬浮「黑洞」模块：拖拽文件、跨机访问修改、双向同步 ⚠️ 基础拖拽传输容易；实时双向同步难度高，拆成2阶段实现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需求：</w:t>
      </w:r>
      <w:r>
        <w:rPr>
          <w:rFonts w:eastAsia="等线" w:ascii="Arial" w:cs="Arial" w:hAnsi="Arial"/>
          <w:sz w:val="22"/>
        </w:rPr>
        <w:t>侧边常驻悬浮小面板（置顶、可收起来），列出局域网所有在线 POFF 主机；把文件拖到目标主机条目上，投递过去；对方可以直接打开修改、文件双向同步。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阶段A（MVP优先实现，稳定、工作量可控）：拖拽投递 + 远程打开编辑</w:t>
      </w:r>
      <w:bookmarkEnd w:id="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悬浮侧边窗口：Tkinter + tkinterdnd2 实现拖拽；置顶、可贴左右边缘自动收起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逻辑：拖入文件 → TCP 发送到目标主机；接收端收到，存到预设共享目录，自动弹窗打开文件夹；文件是独立副本（基础局域网快传）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独立开关：【黑洞悬浮面板】总开关；可设置是否开机悬浮、是否置顶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阶段B（进阶，后续迭代，不进第一个版本）：双向实时同步</w:t>
      </w:r>
      <w:bookmarkEnd w:id="9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不要自己写同步引擎，直接复用 rsync / syncthing 做底层同步；POFF 只做控制界面：在黑洞面板里，给两台主机绑定同步文件夹、一键启停同步任务、显示同步状态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理由：自研实时同步（冲突处理、断点续传、文件锁、增量对比）坑非常多，没必要重复造轮子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区分交互：拖拽=一次性投递文件（复制一份）；绑定同步目录=持续双向同步文件夹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风险：大文件、大量小文件同步对局域网带宽压力高；要增加限速开关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整体模块架构（松耦合，独立开关，互不锁死）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POFF 主程序，原有内核（局域网设备发现、TCP通信、关机引擎）不动；新增模块全部作为插件式组件：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POFF 主框架</w:t>
              <w:br/>
              <w:t>├─ 原有核心（并行关机 / 单主机关机 / 倒计时取消 / 串码配对）</w:t>
              <w:br/>
              <w:t>├─ 【开关1】截屏模块</w:t>
              <w:br/>
              <w:t>├─ 【开关2】亮度调节模块</w:t>
              <w:br/>
              <w:t>├─ 【开关3】平板无线副屏调度模块（对接Spacedesk）</w:t>
              <w:br/>
              <w:t>├─ 【开关4】跨屏键鼠漫游模块（软件KVM，仅键鼠转发，不接管画面）</w:t>
              <w:br/>
            </w:r>
            <w:r>
              <w:rPr>
                <w:rFonts w:eastAsia="Consolas" w:ascii="Consolas" w:cs="Consolas" w:hAnsi="Consolas"/>
                <w:sz w:val="22"/>
              </w:rPr>
              <w:t>└─ 【开关5】黑洞悬浮面板模块（文件拖拽投递 + 可选同步）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所有模块可以单独勾选启用：例如只想要黑洞传文件，不想开键鼠漫游；或者只用键鼠漫游，不用亮度调节，互不影响。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交互统一兼容规则（避免功能打架）</w:t>
      </w:r>
      <w:bookmarkEnd w:id="11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全局设备列表统一：所有模块共享一套局域网设备发现、IP、配对串码、账号认证体系，不用重复添加主机。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权限统一：所有远程操作（关机、截屏、调节亮度、键鼠注入、文件写入）都复用原来的管理员账号密码校验逻辑；目标主机离线、休眠、断网时，统一提示【设备不可达】。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冲突防护：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键鼠漫游开启时，增加热键临时锁定漫游，防止鼠标不小心滑跑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黑洞悬浮面板支持「忽略拖拽」模式，避免误拖文件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截屏、亮度、漫游的快捷键可自定义，禁止快捷键冲突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版本迭代建议（分2版，降低开发压力，小白优先稳定功能）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V2.0（第一版，快速交付，打包EXE给小白）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原有关机能力 + 截屏 + 黑洞拖拽文件投递 + 键鼠漫游；亮度调节只支持笔记本内屏，外接DDC显示器做预留UI；平板副屏只做一键唤起Spacedesk的控制入口，不自研推流。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V2.1（进阶迭代）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补齐DDC外接显示器亮度、平板端亮度控制、黑洞文件夹双向同步（对接syncthing）、同步冲突策略。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重要风险汇总（写进程序说明、公众号文档）</w:t>
      </w:r>
      <w:bookmarkEnd w:id="15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键鼠漫游：必须管理员权限；杀毒软件/Windows Defender 有可能拦截全局输入钩子；WiFi 延迟高时鼠标会飘，有线局域网体验最佳。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外接显示器亮度：廉价 HDMI 显示器不支持 DDC，无法软件调亮度，只能实体按键。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平板副屏：依赖 Spacedesk 驱动，平板必须装 APP；2.4G Wi-Fi 延迟明显。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所有远程功能（截屏、漫游、传文件、关机）共同限制：目标电脑休眠、断网、防火墙拦截时，指令下发失败。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黑洞同步：双向同步会有文件覆盖冲突，必须给用户提示，提供冲突策略（保留新文件/弹窗询问）。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扩展后的 POFF 界面菜单（写入程序UI）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▢ 启用截屏模块</w:t>
              <w:br/>
              <w:t>▢ 启用亮度控制模块</w:t>
              <w:br/>
              <w:t>▢ 启用平板无线副屏调度</w:t>
              <w:br/>
              <w:t>▢ 启用跨屏键鼠漫游（软件KVM，仅键鼠，不切换显示器画面）</w:t>
              <w:br/>
              <w:t>▢ 启用侧边黑洞悬浮面板（文件拖拽传输）</w:t>
              <w:br/>
              <w:br/>
              <w:t>漫游设置：</w:t>
              <w:br/>
              <w:t>屏幕布局配置｜边缘切换阈值｜漫游锁定热键</w:t>
              <w:br/>
              <w:br/>
              <w:t>黑洞设置：</w:t>
              <w:br/>
              <w:t>悬浮自动贴边｜置顶显示｜接收文件默认目录｜开启文件夹双向同步</w:t>
              <w:br/>
              <w:br/>
              <w:t>亮度设置：</w:t>
              <w:br/>
            </w:r>
            <w:r>
              <w:rPr>
                <w:rFonts w:eastAsia="Consolas" w:ascii="Consolas" w:cs="Consolas" w:hAnsi="Consolas"/>
                <w:sz w:val="22"/>
              </w:rPr>
              <w:t>[显示器1] 滑块｜[平板副屏] 滑块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6366">
    <w:lvl>
      <w:start w:val="1"/>
      <w:numFmt w:val="decimal"/>
      <w:suff w:val="tab"/>
      <w:lvlText w:val="%1."/>
      <w:rPr>
        <w:color w:val="3370ff"/>
      </w:rPr>
    </w:lvl>
  </w:abstractNum>
  <w:abstractNum w:abstractNumId="96367">
    <w:lvl>
      <w:start w:val="2"/>
      <w:numFmt w:val="decimal"/>
      <w:suff w:val="tab"/>
      <w:lvlText w:val="%1."/>
      <w:rPr>
        <w:color w:val="3370ff"/>
      </w:rPr>
    </w:lvl>
  </w:abstractNum>
  <w:abstractNum w:abstractNumId="96368">
    <w:lvl>
      <w:start w:val="3"/>
      <w:numFmt w:val="decimal"/>
      <w:suff w:val="tab"/>
      <w:lvlText w:val="%1."/>
      <w:rPr>
        <w:color w:val="3370ff"/>
      </w:rPr>
    </w:lvl>
  </w:abstractNum>
  <w:abstractNum w:abstractNumId="96369">
    <w:lvl>
      <w:start w:val="4"/>
      <w:numFmt w:val="decimal"/>
      <w:suff w:val="tab"/>
      <w:lvlText w:val="%1."/>
      <w:rPr>
        <w:color w:val="3370ff"/>
      </w:rPr>
    </w:lvl>
  </w:abstractNum>
  <w:abstractNum w:abstractNumId="96370">
    <w:lvl>
      <w:start w:val="5"/>
      <w:numFmt w:val="decimal"/>
      <w:suff w:val="tab"/>
      <w:lvlText w:val="%1."/>
      <w:rPr>
        <w:color w:val="3370ff"/>
      </w:rPr>
    </w:lvl>
  </w:abstractNum>
  <w:abstractNum w:abstractNumId="96371">
    <w:lvl>
      <w:numFmt w:val="bullet"/>
      <w:suff w:val="tab"/>
      <w:lvlText w:val="•"/>
      <w:rPr>
        <w:color w:val="3370ff"/>
      </w:rPr>
    </w:lvl>
  </w:abstractNum>
  <w:abstractNum w:abstractNumId="96372">
    <w:lvl>
      <w:numFmt w:val="bullet"/>
      <w:suff w:val="tab"/>
      <w:lvlText w:val="•"/>
      <w:rPr>
        <w:color w:val="3370ff"/>
      </w:rPr>
    </w:lvl>
  </w:abstractNum>
  <w:abstractNum w:abstractNumId="96373">
    <w:lvl>
      <w:numFmt w:val="bullet"/>
      <w:suff w:val="tab"/>
      <w:lvlText w:val="•"/>
      <w:rPr>
        <w:color w:val="3370ff"/>
      </w:rPr>
    </w:lvl>
  </w:abstractNum>
  <w:abstractNum w:abstractNumId="96374">
    <w:lvl>
      <w:start w:val="1"/>
      <w:numFmt w:val="decimal"/>
      <w:suff w:val="tab"/>
      <w:lvlText w:val="%1."/>
      <w:rPr>
        <w:color w:val="3370ff"/>
      </w:rPr>
    </w:lvl>
  </w:abstractNum>
  <w:abstractNum w:abstractNumId="96375">
    <w:lvl>
      <w:start w:val="2"/>
      <w:numFmt w:val="decimal"/>
      <w:suff w:val="tab"/>
      <w:lvlText w:val="%1."/>
      <w:rPr>
        <w:color w:val="3370ff"/>
      </w:rPr>
    </w:lvl>
  </w:abstractNum>
  <w:abstractNum w:abstractNumId="96376">
    <w:lvl>
      <w:start w:val="3"/>
      <w:numFmt w:val="decimal"/>
      <w:suff w:val="tab"/>
      <w:lvlText w:val="%1."/>
      <w:rPr>
        <w:color w:val="3370ff"/>
      </w:rPr>
    </w:lvl>
  </w:abstractNum>
  <w:abstractNum w:abstractNumId="96377">
    <w:lvl>
      <w:numFmt w:val="bullet"/>
      <w:suff w:val="tab"/>
      <w:lvlText w:val="•"/>
      <w:rPr>
        <w:color w:val="3370ff"/>
      </w:rPr>
    </w:lvl>
  </w:abstractNum>
  <w:abstractNum w:abstractNumId="96378">
    <w:lvl>
      <w:numFmt w:val="bullet"/>
      <w:suff w:val="tab"/>
      <w:lvlText w:val="•"/>
      <w:rPr>
        <w:color w:val="3370ff"/>
      </w:rPr>
    </w:lvl>
  </w:abstractNum>
  <w:abstractNum w:abstractNumId="96379">
    <w:lvl>
      <w:numFmt w:val="bullet"/>
      <w:suff w:val="tab"/>
      <w:lvlText w:val="•"/>
      <w:rPr>
        <w:color w:val="3370ff"/>
      </w:rPr>
    </w:lvl>
  </w:abstractNum>
  <w:abstractNum w:abstractNumId="96380">
    <w:lvl>
      <w:numFmt w:val="bullet"/>
      <w:suff w:val="tab"/>
      <w:lvlText w:val="•"/>
      <w:rPr>
        <w:color w:val="3370ff"/>
      </w:rPr>
    </w:lvl>
  </w:abstractNum>
  <w:abstractNum w:abstractNumId="96381">
    <w:lvl>
      <w:numFmt w:val="bullet"/>
      <w:suff w:val="tab"/>
      <w:lvlText w:val="•"/>
      <w:rPr>
        <w:color w:val="3370ff"/>
      </w:rPr>
    </w:lvl>
  </w:abstractNum>
  <w:abstractNum w:abstractNumId="96382">
    <w:lvl>
      <w:numFmt w:val="bullet"/>
      <w:suff w:val="tab"/>
      <w:lvlText w:val="•"/>
      <w:rPr>
        <w:color w:val="3370ff"/>
      </w:rPr>
    </w:lvl>
  </w:abstractNum>
  <w:abstractNum w:abstractNumId="96383">
    <w:lvl>
      <w:numFmt w:val="bullet"/>
      <w:suff w:val="tab"/>
      <w:lvlText w:val="•"/>
      <w:rPr>
        <w:color w:val="3370ff"/>
      </w:rPr>
    </w:lvl>
  </w:abstractNum>
  <w:abstractNum w:abstractNumId="96384">
    <w:lvl>
      <w:numFmt w:val="bullet"/>
      <w:suff w:val="tab"/>
      <w:lvlText w:val="•"/>
      <w:rPr>
        <w:color w:val="3370ff"/>
      </w:rPr>
    </w:lvl>
  </w:abstractNum>
  <w:abstractNum w:abstractNumId="96385">
    <w:lvl>
      <w:numFmt w:val="bullet"/>
      <w:suff w:val="tab"/>
      <w:lvlText w:val="•"/>
      <w:rPr>
        <w:color w:val="3370ff"/>
      </w:rPr>
    </w:lvl>
  </w:abstractNum>
  <w:abstractNum w:abstractNumId="96386">
    <w:lvl>
      <w:numFmt w:val="bullet"/>
      <w:suff w:val="tab"/>
      <w:lvlText w:val="•"/>
      <w:rPr>
        <w:color w:val="3370ff"/>
      </w:rPr>
    </w:lvl>
  </w:abstractNum>
  <w:abstractNum w:abstractNumId="96387">
    <w:lvl>
      <w:numFmt w:val="bullet"/>
      <w:suff w:val="tab"/>
      <w:lvlText w:val="•"/>
      <w:rPr>
        <w:color w:val="3370ff"/>
      </w:rPr>
    </w:lvl>
  </w:abstractNum>
  <w:abstractNum w:abstractNumId="96388">
    <w:lvl>
      <w:numFmt w:val="bullet"/>
      <w:suff w:val="tab"/>
      <w:lvlText w:val="•"/>
      <w:rPr>
        <w:color w:val="3370ff"/>
      </w:rPr>
    </w:lvl>
  </w:abstractNum>
  <w:abstractNum w:abstractNumId="96389">
    <w:lvl>
      <w:numFmt w:val="bullet"/>
      <w:suff w:val="tab"/>
      <w:lvlText w:val="•"/>
      <w:rPr>
        <w:color w:val="3370ff"/>
      </w:rPr>
    </w:lvl>
  </w:abstractNum>
  <w:abstractNum w:abstractNumId="96390">
    <w:lvl>
      <w:start w:val="1"/>
      <w:numFmt w:val="decimal"/>
      <w:suff w:val="tab"/>
      <w:lvlText w:val="%1."/>
      <w:rPr>
        <w:color w:val="3370ff"/>
      </w:rPr>
    </w:lvl>
  </w:abstractNum>
  <w:abstractNum w:abstractNumId="96391">
    <w:lvl>
      <w:start w:val="2"/>
      <w:numFmt w:val="decimal"/>
      <w:suff w:val="tab"/>
      <w:lvlText w:val="%1."/>
      <w:rPr>
        <w:color w:val="3370ff"/>
      </w:rPr>
    </w:lvl>
  </w:abstractNum>
  <w:abstractNum w:abstractNumId="96392">
    <w:lvl>
      <w:start w:val="3"/>
      <w:numFmt w:val="decimal"/>
      <w:suff w:val="tab"/>
      <w:lvlText w:val="%1."/>
      <w:rPr>
        <w:color w:val="3370ff"/>
      </w:rPr>
    </w:lvl>
  </w:abstractNum>
  <w:abstractNum w:abstractNumId="96393">
    <w:lvl>
      <w:numFmt w:val="bullet"/>
      <w:suff w:val="tab"/>
      <w:lvlText w:val="￮"/>
      <w:rPr>
        <w:color w:val="3370ff"/>
      </w:rPr>
    </w:lvl>
  </w:abstractNum>
  <w:abstractNum w:abstractNumId="96394">
    <w:lvl>
      <w:numFmt w:val="bullet"/>
      <w:suff w:val="tab"/>
      <w:lvlText w:val="￮"/>
      <w:rPr>
        <w:color w:val="3370ff"/>
      </w:rPr>
    </w:lvl>
  </w:abstractNum>
  <w:abstractNum w:abstractNumId="96395">
    <w:lvl>
      <w:numFmt w:val="bullet"/>
      <w:suff w:val="tab"/>
      <w:lvlText w:val="￮"/>
      <w:rPr>
        <w:color w:val="3370ff"/>
      </w:rPr>
    </w:lvl>
  </w:abstractNum>
  <w:abstractNum w:abstractNumId="96396">
    <w:lvl>
      <w:start w:val="1"/>
      <w:numFmt w:val="decimal"/>
      <w:suff w:val="tab"/>
      <w:lvlText w:val="%1."/>
      <w:rPr>
        <w:color w:val="3370ff"/>
      </w:rPr>
    </w:lvl>
  </w:abstractNum>
  <w:abstractNum w:abstractNumId="96397">
    <w:lvl>
      <w:start w:val="2"/>
      <w:numFmt w:val="decimal"/>
      <w:suff w:val="tab"/>
      <w:lvlText w:val="%1."/>
      <w:rPr>
        <w:color w:val="3370ff"/>
      </w:rPr>
    </w:lvl>
  </w:abstractNum>
  <w:abstractNum w:abstractNumId="96398">
    <w:lvl>
      <w:start w:val="3"/>
      <w:numFmt w:val="decimal"/>
      <w:suff w:val="tab"/>
      <w:lvlText w:val="%1."/>
      <w:rPr>
        <w:color w:val="3370ff"/>
      </w:rPr>
    </w:lvl>
  </w:abstractNum>
  <w:abstractNum w:abstractNumId="96399">
    <w:lvl>
      <w:start w:val="4"/>
      <w:numFmt w:val="decimal"/>
      <w:suff w:val="tab"/>
      <w:lvlText w:val="%1."/>
      <w:rPr>
        <w:color w:val="3370ff"/>
      </w:rPr>
    </w:lvl>
  </w:abstractNum>
  <w:abstractNum w:abstractNumId="96400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96366"/>
  </w:num>
  <w:num w:numId="2">
    <w:abstractNumId w:val="96367"/>
  </w:num>
  <w:num w:numId="3">
    <w:abstractNumId w:val="96368"/>
  </w:num>
  <w:num w:numId="4">
    <w:abstractNumId w:val="96369"/>
  </w:num>
  <w:num w:numId="5">
    <w:abstractNumId w:val="96370"/>
  </w:num>
  <w:num w:numId="6">
    <w:abstractNumId w:val="96371"/>
  </w:num>
  <w:num w:numId="7">
    <w:abstractNumId w:val="96372"/>
  </w:num>
  <w:num w:numId="8">
    <w:abstractNumId w:val="96373"/>
  </w:num>
  <w:num w:numId="9">
    <w:abstractNumId w:val="96374"/>
  </w:num>
  <w:num w:numId="10">
    <w:abstractNumId w:val="96375"/>
  </w:num>
  <w:num w:numId="11">
    <w:abstractNumId w:val="96376"/>
  </w:num>
  <w:num w:numId="12">
    <w:abstractNumId w:val="96377"/>
  </w:num>
  <w:num w:numId="13">
    <w:abstractNumId w:val="96378"/>
  </w:num>
  <w:num w:numId="14">
    <w:abstractNumId w:val="96379"/>
  </w:num>
  <w:num w:numId="15">
    <w:abstractNumId w:val="96380"/>
  </w:num>
  <w:num w:numId="16">
    <w:abstractNumId w:val="96381"/>
  </w:num>
  <w:num w:numId="17">
    <w:abstractNumId w:val="96382"/>
  </w:num>
  <w:num w:numId="18">
    <w:abstractNumId w:val="96383"/>
  </w:num>
  <w:num w:numId="19">
    <w:abstractNumId w:val="96384"/>
  </w:num>
  <w:num w:numId="20">
    <w:abstractNumId w:val="96385"/>
  </w:num>
  <w:num w:numId="21">
    <w:abstractNumId w:val="96386"/>
  </w:num>
  <w:num w:numId="22">
    <w:abstractNumId w:val="96387"/>
  </w:num>
  <w:num w:numId="23">
    <w:abstractNumId w:val="96388"/>
  </w:num>
  <w:num w:numId="24">
    <w:abstractNumId w:val="96389"/>
  </w:num>
  <w:num w:numId="25">
    <w:abstractNumId w:val="96390"/>
  </w:num>
  <w:num w:numId="26">
    <w:abstractNumId w:val="96391"/>
  </w:num>
  <w:num w:numId="27">
    <w:abstractNumId w:val="96392"/>
  </w:num>
  <w:num w:numId="28">
    <w:abstractNumId w:val="96393"/>
  </w:num>
  <w:num w:numId="29">
    <w:abstractNumId w:val="96394"/>
  </w:num>
  <w:num w:numId="30">
    <w:abstractNumId w:val="96395"/>
  </w:num>
  <w:num w:numId="31">
    <w:abstractNumId w:val="96396"/>
  </w:num>
  <w:num w:numId="32">
    <w:abstractNumId w:val="96397"/>
  </w:num>
  <w:num w:numId="33">
    <w:abstractNumId w:val="96398"/>
  </w:num>
  <w:num w:numId="34">
    <w:abstractNumId w:val="96399"/>
  </w:num>
  <w:num w:numId="35">
    <w:abstractNumId w:val="964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2026-10-26T03:24:26Z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{"Label":"1","ContentProducer":"001191110102MACQD9K64010000","ProduceID":"7700812205151620377","ReservedCode1":"","ContentPropagator":"","PropagateID":"","ReservedCode2":""}</vt:lpwstr>
  </property>
</Properties>
</file>