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adaptive graph fusion for short-range weather forecasting with conditional local convolution</w:t>
      </w:r>
    </w:p>
    <w:p>
      <w:pPr>
        <w:pStyle w:val="Author"/>
      </w:pPr>
      <w:r>
        <w:t xml:space="preserve">Xinchen Geng</w:t>
      </w:r>
    </w:p>
    <w:bookmarkStart w:id="9" w:name="sec:introduction"/>
    <w:p>
      <w:r>
        <w:t>University of Southern California, Los Angeles, CA 90089, USA</w:t>
      </w:r>
    </w:p>
    <w:p>
      <w:r>
        <w:t>Corresponding author: gengx@usc.edu</w:t>
      </w:r>
    </w:p>
    <w:p>
      <w:pPr>
        <w:pStyle w:val="Subtitle"/>
      </w:pPr>
      <w:r>
        <w:t>Abstract</w:t>
      </w:r>
    </w:p>
    <w:p>
      <w:r>
        <w:t>I evaluate an adaptive graph-fusion (AGF) extension to the Conditional Local Convolution Recurrent Network (CLCRN), originally proposed by Haitao Lin et al., on four coarse-grid WeatherBench-derived tasks. The encoder gates a graph-aggregated projection against a node-wise residual projection before the CLConv recurrent backbone. I newly train 40 primary models (two variants, four tasks and five seeds) and six mean-fusion ablations, each for 100 epochs in FP32. Training, validation and testing consistently include finite targets equal to zero; checkpoints are selected using validation MAE alone. Across five training seeds per variant, AGF reduces relative-humidity MAE by 2.38% and RMSE by 3.29% (Benjamini–Hochberg adjusted q=0.00604 and 0.000653, respectively, across eight primary tests). The other six comparisons do not establish a difference at q&lt;0.05. I additionally report latitude-weighted scores, horizon-specific errors and sampled missing-input diagnostics. The evidence concerns training-seed variability on one fixed split and does not establish competitive skill against large-scale global weather models.</w:t>
      </w:r>
    </w:p>
    <w:p>
      <w:pPr>
        <w:pStyle w:val="Heading1"/>
        <w:keepNext/>
      </w:pPr>
      <w:r>
        <w:rPr>
          <w:rStyle w:val="SectionNumber"/>
        </w:rPr>
        <w:t xml:space="preserve">1</w:t>
      </w:r>
      <w:r>
        <w:tab/>
      </w:r>
      <w:r>
        <w:t xml:space="preserve">Introduction</w:t>
      </w:r>
    </w:p>
    <w:p>
      <w:pPr>
        <w:pStyle w:val="FirstParagraph"/>
      </w:pPr>
      <w:r>
        <w:t xml:space="preserve">Numerical weather prediction integrates physical governing equations and</w:t>
      </w:r>
      <w:r>
        <w:t xml:space="preserve"> </w:t>
      </w:r>
      <w:r>
        <w:t xml:space="preserve">remains central to operational forecasting </w:t>
      </w:r>
      <w:r>
        <w:rPr>
          <w:vertAlign w:val="superscript"/>
        </w:rPr>
        <w:t xml:space="preserve">1</w:t>
      </w:r>
      <w:r>
        <w:t xml:space="preserve">.</w:t>
      </w:r>
      <w:r>
        <w:t xml:space="preserve"> </w:t>
      </w:r>
      <w:r>
        <w:t xml:space="preserve">WeatherBench and the ERA5 reanalysis have also enabled systematic evaluation</w:t>
      </w:r>
      <w:r>
        <w:t xml:space="preserve"> </w:t>
      </w:r>
      <w:r>
        <w:t xml:space="preserve">of data-driven weather models </w:t>
      </w:r>
      <w:r>
        <w:rPr>
          <w:vertAlign w:val="superscript"/>
        </w:rPr>
        <w:t xml:space="preserve">2,3</w:t>
      </w:r>
      <w:r>
        <w:t xml:space="preserve">.</w:t>
      </w:r>
      <w:r>
        <w:t xml:space="preserve"> </w:t>
      </w:r>
      <w:r>
        <w:t xml:space="preserve">Recent global models, including FourCastNet, Pangu-Weather, GraphCast, and</w:t>
      </w:r>
      <w:r>
        <w:t xml:space="preserve"> </w:t>
      </w:r>
      <w:r>
        <w:t xml:space="preserve">probabilistic forecasters, address multivariate medium-range prediction at</w:t>
      </w:r>
      <w:r>
        <w:t xml:space="preserve"> </w:t>
      </w:r>
      <w:r>
        <w:t xml:space="preserve">much finer spatial resolution than small graph-recurrent</w:t>
      </w:r>
      <w:r>
        <w:t xml:space="preserve"> </w:t>
      </w:r>
      <w:r>
        <w:t xml:space="preserve">benchmarks </w:t>
      </w:r>
      <w:r>
        <w:rPr>
          <w:vertAlign w:val="superscript"/>
        </w:rPr>
        <w:t xml:space="preserve">4,5,6,7</w:t>
      </w:r>
      <w:r>
        <w:t xml:space="preserve">.</w:t>
      </w:r>
      <w:r>
        <w:t xml:space="preserve"> </w:t>
      </w:r>
      <w:r>
        <w:t xml:space="preserve">Compact models remain useful for controlled experiments on training cost,</w:t>
      </w:r>
      <w:r>
        <w:t xml:space="preserve"> </w:t>
      </w:r>
      <w:r>
        <w:t xml:space="preserve">task-specific adaptation, and reproducibility, provided that their narrower</w:t>
      </w:r>
      <w:r>
        <w:t xml:space="preserve"> </w:t>
      </w:r>
      <w:r>
        <w:t xml:space="preserve">forecasting scope is stated explicitly.</w:t>
      </w:r>
    </w:p>
    <w:p>
      <w:pPr>
        <w:pStyle w:val="BodyText"/>
      </w:pPr>
      <w:r>
        <w:t xml:space="preserve">This study builds on the Conditional Local Convolution Recurrent Network</w:t>
      </w:r>
      <w:r>
        <w:t xml:space="preserve"> </w:t>
      </w:r>
      <w:r>
        <w:t xml:space="preserve">(CLCRN), proposed by Haitao Lin et al. </w:t>
      </w:r>
      <w:r>
        <w:rPr>
          <w:vertAlign w:val="superscript"/>
        </w:rPr>
        <w:t xml:space="preserve">8</w:t>
      </w:r>
      <w:r>
        <w:t xml:space="preserve">. CLCRN and its</w:t>
      </w:r>
      <w:r>
        <w:t xml:space="preserve"> </w:t>
      </w:r>
      <w:r>
        <w:t xml:space="preserve">Conditional Local Convolution (CLConv) operator are contributions of that</w:t>
      </w:r>
      <w:r>
        <w:t xml:space="preserve"> </w:t>
      </w:r>
      <w:r>
        <w:t xml:space="preserve">prior work. The present study adds an AGF input extension and evaluates</w:t>
      </w:r>
      <w:r>
        <w:t xml:space="preserve"> </w:t>
      </w:r>
      <w:r>
        <w:t xml:space="preserve">its effects under matched conditions. CLConv uses geographic information to construct</w:t>
      </w:r>
      <w:r>
        <w:t xml:space="preserve"> </w:t>
      </w:r>
      <w:r>
        <w:t xml:space="preserve">location-dependent kernels. The present data occupy a regular</w:t>
      </w:r>
      <w:r>
        <w:t xml:space="preserve"> </w:t>
      </w:r>
      <m:oMath>
        <m:r>
          <m:t>32</m:t>
        </m:r>
        <m:r>
          <m:rPr>
            <m:sty m:val="p"/>
          </m:rPr>
          <m:t>×</m:t>
        </m:r>
        <m:r>
          <m:t>64</m:t>
        </m:r>
      </m:oMath>
      <w:r>
        <w:t xml:space="preserve"> </w:t>
      </w:r>
      <w:r>
        <w:t xml:space="preserve">latitude–longitude grid embedded on the sphere, rather than</w:t>
      </w:r>
      <w:r>
        <w:t xml:space="preserve"> </w:t>
      </w:r>
      <w:r>
        <w:t xml:space="preserve">an irregular sampling grid. Geometry-conditioned local aggregation is the</w:t>
      </w:r>
      <w:r>
        <w:t xml:space="preserve"> </w:t>
      </w:r>
      <w:r>
        <w:t xml:space="preserve">published backbone contribution. The question studied here is whether</w:t>
      </w:r>
      <w:r>
        <w:t xml:space="preserve"> </w:t>
      </w:r>
      <w:r>
        <w:t xml:space="preserve">augmenting that backbone with a learned graph yields a reproducible benefit</w:t>
      </w:r>
      <w:r>
        <w:t xml:space="preserve"> </w:t>
      </w:r>
      <w:r>
        <w:t xml:space="preserve">for 12-hour forecasting (Supplementary Fig. S1).</w:t>
      </w:r>
    </w:p>
    <w:p>
      <w:pPr>
        <w:pStyle w:val="BodyText"/>
      </w:pPr>
      <w:r>
        <w:t xml:space="preserve">Learned adjacency and gating are established ideas. Diffusion and</w:t>
      </w:r>
      <w:r>
        <w:t xml:space="preserve"> </w:t>
      </w:r>
      <w:r>
        <w:t xml:space="preserve">graph-convolutional recurrent networks </w:t>
      </w:r>
      <w:r>
        <w:rPr>
          <w:vertAlign w:val="superscript"/>
        </w:rPr>
        <w:t xml:space="preserve">9,16</w:t>
      </w:r>
      <w:r>
        <w:t xml:space="preserve"> </w:t>
      </w:r>
      <w:r>
        <w:t xml:space="preserve">and spatio-temporal graph convolution </w:t>
      </w:r>
      <w:r>
        <w:rPr>
          <w:vertAlign w:val="superscript"/>
        </w:rPr>
        <w:t xml:space="preserve">10</w:t>
      </w:r>
      <w:r>
        <w:t xml:space="preserve"> </w:t>
      </w:r>
      <w:r>
        <w:t xml:space="preserve">provide fixed-graph</w:t>
      </w:r>
      <w:r>
        <w:t xml:space="preserve"> </w:t>
      </w:r>
      <w:r>
        <w:t xml:space="preserve">baselines. Graph WaveNet, AGCRN, and learned graph-structure</w:t>
      </w:r>
      <w:r>
        <w:t xml:space="preserve"> </w:t>
      </w:r>
      <w:r>
        <w:t xml:space="preserve">models </w:t>
      </w:r>
      <w:r>
        <w:rPr>
          <w:vertAlign w:val="superscript"/>
        </w:rPr>
        <w:t xml:space="preserve">11,12,13</w:t>
      </w:r>
      <w:r>
        <w:t xml:space="preserve"> </w:t>
      </w:r>
      <w:r>
        <w:t xml:space="preserve">motivate topology</w:t>
      </w:r>
      <w:r>
        <w:t xml:space="preserve"> </w:t>
      </w:r>
      <w:r>
        <w:t xml:space="preserve">estimated from data. Attention-based forecasting further demonstrates the</w:t>
      </w:r>
      <w:r>
        <w:t xml:space="preserve"> </w:t>
      </w:r>
      <w:r>
        <w:t xml:space="preserve">value of learned dependencies </w:t>
      </w:r>
      <w:r>
        <w:rPr>
          <w:vertAlign w:val="superscript"/>
        </w:rPr>
        <w:t xml:space="preserve">15,14</w:t>
      </w:r>
      <w:r>
        <w:t xml:space="preserve">.</w:t>
      </w:r>
      <w:r>
        <w:t xml:space="preserve"> </w:t>
      </w:r>
      <w:r>
        <w:t xml:space="preserve">The adaptive-graph and fusion design is inspired by ASTTN </w:t>
      </w:r>
      <w:r>
        <w:rPr>
          <w:vertAlign w:val="superscript"/>
        </w:rPr>
        <w:t xml:space="preserve">20</w:t>
      </w:r>
      <w:r>
        <w:t xml:space="preserve">,</w:t>
      </w:r>
      <w:r>
        <w:t xml:space="preserve"> </w:t>
      </w:r>
      <w:r>
        <w:t xml:space="preserve">which combines representations from geographical and learned graphs.</w:t>
      </w:r>
      <w:r>
        <w:t xml:space="preserve"> </w:t>
      </w:r>
      <w:r>
        <w:t xml:space="preserve">Here I use a compact graph aggregation and node-wise residual projection</w:t>
      </w:r>
      <w:r>
        <w:t xml:space="preserve"> </w:t>
      </w:r>
      <w:r>
        <w:t xml:space="preserve">before CLConv, without ASTTN’s Gumbel graph masking or spatial–temporal</w:t>
      </w:r>
      <w:r>
        <w:t xml:space="preserve"> </w:t>
      </w:r>
      <w:r>
        <w:t xml:space="preserve">multi-head attention.</w:t>
      </w:r>
      <w:r>
        <w:t xml:space="preserve"> </w:t>
      </w:r>
      <w:r>
        <w:t xml:space="preserve">I do not claim the ingredients of the AGF encoder as individually novel.</w:t>
      </w:r>
      <w:r>
        <w:t xml:space="preserve"> </w:t>
      </w:r>
      <w:r>
        <w:t xml:space="preserve">It is a compact combination of node embeddings, directed adjacency,</w:t>
      </w:r>
      <w:r>
        <w:t xml:space="preserve"> </w:t>
      </w:r>
      <w:r>
        <w:t xml:space="preserve">top-</w:t>
      </w:r>
      <m:oMath>
        <m:r>
          <m:t>k</m:t>
        </m:r>
      </m:oMath>
      <w:r>
        <w:t xml:space="preserve"> </w:t>
      </w:r>
      <w:r>
        <w:t xml:space="preserve">aggregation, and gated residual mixing used to test an incremental</w:t>
      </w:r>
      <w:r>
        <w:t xml:space="preserve"> </w:t>
      </w:r>
      <w:r>
        <w:t xml:space="preserve">change to an existing geometry-conditioned model.</w:t>
      </w:r>
    </w:p>
    <w:p>
      <w:pPr>
        <w:pStyle w:val="BodyText"/>
      </w:pPr>
      <w:r>
        <w:t xml:space="preserve">The contribution of this study is the AGF input extension to the published</w:t>
      </w:r>
      <w:r>
        <w:t xml:space="preserve"> </w:t>
      </w:r>
      <w:r>
        <w:t xml:space="preserve">CLCRN framework and its controlled empirical evaluation: identical</w:t>
      </w:r>
      <w:r>
        <w:t xml:space="preserve"> </w:t>
      </w:r>
      <w:r>
        <w:t xml:space="preserve">data, training schedules, and budgets for CLCRN and CLCRN-AGF; five seed</w:t>
      </w:r>
      <w:r>
        <w:t xml:space="preserve"> </w:t>
      </w:r>
      <w:r>
        <w:t xml:space="preserve">replicates; uncertainty estimates and multiplicity correction; and a</w:t>
      </w:r>
      <w:r>
        <w:t xml:space="preserve"> </w:t>
      </w:r>
      <w:r>
        <w:t xml:space="preserve">traceable connection between results, checkpoints, and figures. I also</w:t>
      </w:r>
      <w:r>
        <w:t xml:space="preserve"> </w:t>
      </w:r>
      <w:r>
        <w:t xml:space="preserve">report component ablations, diagnostic analyses, and negative or inconclusive</w:t>
      </w:r>
      <w:r>
        <w:t xml:space="preserve"> </w:t>
      </w:r>
      <w:r>
        <w:t xml:space="preserve">results. The manuscript follows a Methods–Results–Discussion structure</w:t>
      </w:r>
      <w:r>
        <w:t xml:space="preserve"> </w:t>
      </w:r>
      <w:r>
        <w:t xml:space="preserve">so that the implementation and evaluation conventions are specified before</w:t>
      </w:r>
      <w:r>
        <w:t xml:space="preserve"> </w:t>
      </w:r>
      <w:r>
        <w:t xml:space="preserve">the numerical findings.</w:t>
      </w:r>
    </w:p>
    <w:bookmarkEnd w:id="9"/>
    <w:bookmarkStart w:id="21" w:name="sec:methods"/>
    <w:p>
      <w:pPr>
        <w:pStyle w:val="Heading1"/>
        <w:keepNext/>
      </w:pPr>
      <w:r>
        <w:rPr>
          <w:rStyle w:val="SectionNumber"/>
        </w:rPr>
        <w:t xml:space="preserve">2</w:t>
      </w:r>
      <w:r>
        <w:tab/>
      </w:r>
      <w:r>
        <w:t xml:space="preserve">Methods</w:t>
      </w:r>
    </w:p>
    <w:bookmarkStart w:id="10" w:name="sec:data"/>
    <w:p>
      <w:pPr>
        <w:pStyle w:val="Heading2"/>
        <w:keepNext/>
      </w:pPr>
      <w:r>
        <w:rPr>
          <w:rStyle w:val="SectionNumber"/>
        </w:rPr>
        <w:t xml:space="preserve">2.1</w:t>
      </w:r>
      <w:r>
        <w:tab/>
      </w:r>
      <w:r>
        <w:t xml:space="preserve">Data, chronological split, and normalization</w:t>
      </w:r>
    </w:p>
    <w:p>
      <w:pPr>
        <w:pStyle w:val="FirstParagraph"/>
      </w:pPr>
      <w:r>
        <w:t xml:space="preserve">I use the four WeatherBench-derived tasks adopted by</w:t>
      </w:r>
      <w:r>
        <w:t xml:space="preserve"> </w:t>
      </w:r>
      <w:r>
        <w:t xml:space="preserve">CLCRN </w:t>
      </w:r>
      <w:r>
        <w:rPr>
          <w:vertAlign w:val="superscript"/>
        </w:rPr>
        <w:t xml:space="preserve">8,2</w:t>
      </w:r>
      <w:r>
        <w:t xml:space="preserve">: 2-m temperature (K),</w:t>
      </w:r>
      <w:r>
        <w:t xml:space="preserve"> </w:t>
      </w:r>
      <w:r>
        <w:t xml:space="preserve">relative humidity (percentage points), 10-m wind components (</w:t>
      </w:r>
      <m:oMath>
        <m:r>
          <m:t>u</m:t>
        </m:r>
        <m:r>
          <m:rPr>
            <m:sty m:val="p"/>
          </m:rPr>
          <m:t>,</m:t>
        </m:r>
        <m:r>
          <m:t>v</m:t>
        </m:r>
      </m:oMath>
      <w:r>
        <w:t xml:space="preserve">;</w:t>
      </w:r>
      <w:r>
        <w:t xml:space="preserve"> </w:t>
      </w:r>
      <w:r>
        <w:t xml:space="preserve">m s</w:t>
      </w:r>
      <m:oMath>
        <m:sSup>
          <m:e>
            <m:r>
              <m:t>​</m:t>
            </m:r>
          </m:e>
          <m:sup>
            <m:r>
              <m:rPr>
                <m:sty m:val="p"/>
              </m:rPr>
              <m:t>−</m:t>
            </m:r>
            <m:r>
              <m:t>1</m:t>
            </m:r>
          </m:sup>
        </m:sSup>
      </m:oMath>
      <w:r>
        <w:t xml:space="preserve">), and total cloud cover (fraction). The two wind components are</w:t>
      </w:r>
      <w:r>
        <w:t xml:space="preserve"> </w:t>
      </w:r>
      <w:r>
        <w:t xml:space="preserve">predicted together; the other tasks are trained separately. Hourly data</w:t>
      </w:r>
      <w:r>
        <w:t xml:space="preserve"> </w:t>
      </w:r>
      <w:r>
        <w:t xml:space="preserve">from 1 January 2010 through 31 December 2018 are supplied on a regular</w:t>
      </w:r>
      <w:r>
        <w:t xml:space="preserve"> </w:t>
      </w:r>
      <m:oMath>
        <m:r>
          <m:t>32</m:t>
        </m:r>
        <m:r>
          <m:rPr>
            <m:sty m:val="p"/>
          </m:rPr>
          <m:t>×</m:t>
        </m:r>
        <m:r>
          <m:t>64</m:t>
        </m:r>
      </m:oMath>
      <w:r>
        <w:t xml:space="preserve"> </w:t>
      </w:r>
      <w:r>
        <w:t xml:space="preserve">latitude–longitude grid (</w:t>
      </w:r>
      <m:oMath>
        <m:r>
          <m:t>N</m:t>
        </m:r>
        <m:r>
          <m:rPr>
            <m:sty m:val="p"/>
          </m:rPr>
          <m:t>=</m:t>
        </m:r>
        <m:r>
          <m:t>2</m:t>
        </m:r>
        <m:r>
          <m:rPr>
            <m:sty m:val="p"/>
          </m:rPr>
          <m:t>,</m:t>
        </m:r>
        <m:r>
          <m:t>048</m:t>
        </m:r>
      </m:oMath>
      <w:r>
        <w:t xml:space="preserve">).</w:t>
      </w:r>
    </w:p>
    <w:p>
      <w:pPr>
        <w:pStyle w:val="BodyText"/>
      </w:pPr>
      <w:r>
        <w:t xml:space="preserve">Each example contains 12 hourly inputs followed by 12 hourly targets.</w:t>
      </w:r>
      <w:r>
        <w:t xml:space="preserve"> </w:t>
      </w:r>
      <w:r>
        <w:t xml:space="preserve">Windows start 24 hours apart, yielding 3,286 examples. Chronological,</w:t>
      </w:r>
      <w:r>
        <w:t xml:space="preserve"> </w:t>
      </w:r>
      <w:r>
        <w:t xml:space="preserve">unshuffled train/validation/test partitions contain 2,300/329/657 examples.</w:t>
      </w:r>
      <w:r>
        <w:t xml:space="preserve"> </w:t>
      </w:r>
      <w:r>
        <w:t xml:space="preserve">Thus successive examples do not share a 24-hour input–target window.</w:t>
      </w:r>
      <w:r>
        <w:t xml:space="preserve"> </w:t>
      </w:r>
      <w:r>
        <w:t xml:space="preserve">For each physical variable (and separately for each wind component), the</w:t>
      </w:r>
      <w:r>
        <w:t xml:space="preserve"> </w:t>
      </w:r>
      <w:r>
        <w:t xml:space="preserve">normalization mean and standard deviation are computed over the training</w:t>
      </w:r>
      <w:r>
        <w:t xml:space="preserve"> </w:t>
      </w:r>
      <w:r>
        <w:t xml:space="preserve">input arrays across examples, input times, and nodes. The same statistics</w:t>
      </w:r>
      <w:r>
        <w:t xml:space="preserve"> </w:t>
      </w:r>
      <w:r>
        <w:t xml:space="preserve">transform inputs and targets. In the frozen implementation, these statistics are computed from the original training-input arrays. Inputs and targets are then cast to float32 before in-place subtraction of the training mean and division by the training standard deviation. This float32-before-standardization order is used for training, validation and test inference and is recorded in the processing-version manifest. Forecast errors are calculated after inverse standardization.</w:t>
      </w:r>
    </w:p>
    <w:bookmarkEnd w:id="10"/>
    <w:bookmarkStart w:id="15" w:name="sec:architecture"/>
    <w:p>
      <w:pPr>
        <w:pStyle w:val="Heading2"/>
        <w:keepNext/>
      </w:pPr>
      <w:r>
        <w:rPr>
          <w:rStyle w:val="SectionNumber"/>
        </w:rPr>
        <w:t xml:space="preserve">2.2</w:t>
      </w:r>
      <w:r>
        <w:tab/>
      </w:r>
      <w:r>
        <w:t xml:space="preserve">Backbone and implementation-aligned AGF encoder</w:t>
      </w:r>
    </w:p>
    <w:p>
      <w:pPr>
        <w:pStyle w:val="FirstParagraph"/>
      </w:pPr>
      <w:r>
        <w:t xml:space="preserve">The CLConv–GRU encoder–decoder is based on the public CLCRN implementation.</w:t>
      </w:r>
      <w:r>
        <w:t xml:space="preserve"> </w:t>
      </w:r>
      <w:r>
        <w:t xml:space="preserve">CLConv uses coordinates, geodesic distance, and orientation information to</w:t>
      </w:r>
      <w:r>
        <w:t xml:space="preserve"> </w:t>
      </w:r>
      <w:r>
        <w:t xml:space="preserve">condition local convolution. These operators and the recurrent update are</w:t>
      </w:r>
      <w:r>
        <w:t xml:space="preserve"> </w:t>
      </w:r>
      <w:r>
        <w:t xml:space="preserve">retained; AGF augments the encoder input rather than replacing CLConv.</w:t>
      </w:r>
      <w:r>
        <w:t xml:space="preserve"> </w:t>
      </w:r>
      <w:r>
        <w:t xml:space="preserve">Both local variants use trainable node embeddings, whereas the upstream</w:t>
      </w:r>
      <w:r>
        <w:t xml:space="preserve"> </w:t>
      </w:r>
      <w:r>
        <w:t xml:space="preserve">reference implementation registers its node embeddings as a fixed buffer.</w:t>
      </w:r>
      <w:r>
        <w:t xml:space="preserve"> </w:t>
      </w:r>
      <w:r>
        <w:t xml:space="preserve">Thus the control is a matched local CLCRN implementation retaining the</w:t>
      </w:r>
      <w:r>
        <w:t xml:space="preserve"> </w:t>
      </w:r>
      <w:r>
        <w:t xml:space="preserve">published CLConv–GRU operators, rather than an unchanged reproduction</w:t>
      </w:r>
      <w:r>
        <w:t xml:space="preserve"> </w:t>
      </w:r>
      <w:r>
        <w:t xml:space="preserve">of every upstream implementation choice.</w:t>
      </w:r>
      <w:r>
        <w:t xml:space="preserve"> </w:t>
      </w:r>
      <w:r>
        <w:t xml:space="preserve">During training, the autoregressive decoder uses curriculum-based teacher</w:t>
      </w:r>
      <w:r>
        <w:t xml:space="preserve"> </w:t>
      </w:r>
      <w:r>
        <w:t xml:space="preserve">forcing. At evaluation, it consumes its own previous predictions.</w:t>
      </w:r>
    </w:p>
    <w:p>
      <w:pPr>
        <w:pStyle w:val="BodyText"/>
      </w:pPr>
      <w:r>
        <w:t xml:space="preserve">Let</w:t>
      </w:r>
      <w:r>
        <w:t xml:space="preserve"> </w:t>
      </w:r>
      <m:oMath>
        <m:sSub>
          <m:e>
            <m:acc>
              <m:accPr>
                <m:chr m:val="‾"/>
              </m:accPr>
              <m:e>
                <m:r>
                  <m:rPr>
                    <m:sty m:val="b"/>
                  </m:rPr>
                  <m:t>x</m:t>
                </m:r>
              </m:e>
            </m:acc>
          </m:e>
          <m:sub>
            <m:r>
              <m:t>b</m:t>
            </m:r>
            <m:r>
              <m:t>t</m:t>
            </m:r>
            <m:r>
              <m:t>i</m:t>
            </m:r>
          </m:sub>
        </m:sSub>
        <m:r>
          <m:rPr>
            <m:sty m:val="p"/>
          </m:rPr>
          <m:t>∈</m:t>
        </m:r>
        <m:sSup>
          <m:e>
            <m:r>
              <m:rPr>
                <m:scr m:val="double-struck"/>
                <m:sty m:val="p"/>
              </m:rPr>
              <m:t>R</m:t>
            </m:r>
          </m:e>
          <m:sup>
            <m:r>
              <m:t>C</m:t>
            </m:r>
          </m:sup>
        </m:sSup>
      </m:oMath>
      <w:r>
        <w:t xml:space="preserve"> </w:t>
      </w:r>
      <w:r>
        <w:t xml:space="preserve">be the standardized input at</w:t>
      </w:r>
      <w:r>
        <w:t xml:space="preserve"> </w:t>
      </w:r>
      <w:r>
        <w:t xml:space="preserve">example</w:t>
      </w:r>
      <w:r>
        <w:t xml:space="preserve"> </w:t>
      </w:r>
      <m:oMath>
        <m:r>
          <m:t>b</m:t>
        </m:r>
      </m:oMath>
      <w:r>
        <w:t xml:space="preserve">, time</w:t>
      </w:r>
      <w:r>
        <w:t xml:space="preserve"> </w:t>
      </w:r>
      <m:oMath>
        <m:r>
          <m:t>t</m:t>
        </m:r>
      </m:oMath>
      <w:r>
        <w:t xml:space="preserve">, and node</w:t>
      </w:r>
      <w:r>
        <w:t xml:space="preserve"> </w:t>
      </w:r>
      <m:oMath>
        <m:r>
          <m:t>i</m:t>
        </m:r>
      </m:oMath>
      <w:r>
        <w:t xml:space="preserve">. A linear weather projection and a learned</w:t>
      </w:r>
      <w:r>
        <w:t xml:space="preserve"> </w:t>
      </w:r>
      <w:r>
        <w:t xml:space="preserve">node embedding, each of dimension 8, form the AGF input</w:t>
      </w:r>
    </w:p>
    <w:p>
      <w:pPr>
        <w:pStyle w:val="BodyText"/>
      </w:pPr>
      <m:oMathPara>
        <m:oMathParaPr>
          <m:jc m:val="center"/>
        </m:oMathParaPr>
        <m:oMath>
          <m:sSub>
            <m:e>
              <m:r>
                <m:rPr>
                  <m:sty m:val="b"/>
                </m:rPr>
                <m:t>F</m:t>
              </m:r>
            </m:e>
            <m:sub>
              <m:r>
                <m:t>b</m:t>
              </m:r>
              <m:r>
                <m:t>t</m:t>
              </m:r>
              <m:r>
                <m:t>i</m:t>
              </m:r>
            </m:sub>
          </m:sSub>
          <m:r>
            <m:rPr>
              <m:sty m:val="p"/>
            </m:rPr>
            <m:t>=</m:t>
          </m:r>
          <m:sSub>
            <m:e>
              <m:r>
                <m:t>ϕ</m:t>
              </m:r>
            </m:e>
            <m:sub>
              <m:r>
                <m:t>x</m:t>
              </m:r>
            </m:sub>
          </m:sSub>
          <m:r>
            <m:rPr>
              <m:sty m:val="p"/>
            </m:rPr>
            <m:t>(</m:t>
          </m:r>
          <m:sSub>
            <m:e>
              <m:acc>
                <m:accPr>
                  <m:chr m:val="‾"/>
                </m:accPr>
                <m:e>
                  <m:r>
                    <m:rPr>
                      <m:sty m:val="b"/>
                    </m:rPr>
                    <m:t>x</m:t>
                  </m:r>
                </m:e>
              </m:acc>
            </m:e>
            <m:sub>
              <m:r>
                <m:t>b</m:t>
              </m:r>
              <m:r>
                <m:t>t</m:t>
              </m:r>
              <m:r>
                <m:t>i</m:t>
              </m:r>
            </m:sub>
          </m:sSub>
          <m:r>
            <m:rPr>
              <m:sty m:val="p"/>
            </m:rPr>
            <m:t>)</m:t>
          </m:r>
          <m:r>
            <m:rPr>
              <m:sty m:val="p"/>
            </m:rPr>
            <m:t>‖</m:t>
          </m:r>
          <m:sSubSup>
            <m:e>
              <m:r>
                <m:rPr>
                  <m:sty m:val="b"/>
                </m:rPr>
                <m:t>e</m:t>
              </m:r>
            </m:e>
            <m:sub>
              <m:r>
                <m:t>i</m:t>
              </m:r>
            </m:sub>
            <m:sup>
              <m:r>
                <m:rPr>
                  <m:sty m:val="p"/>
                </m:rPr>
                <m:t>n</m:t>
              </m:r>
              <m:r>
                <m:rPr>
                  <m:sty m:val="p"/>
                </m:rPr>
                <m:t>o</m:t>
              </m:r>
              <m:r>
                <m:rPr>
                  <m:sty m:val="p"/>
                </m:rPr>
                <m:t>d</m:t>
              </m:r>
              <m:r>
                <m:rPr>
                  <m:sty m:val="p"/>
                </m:rPr>
                <m:t>e</m:t>
              </m:r>
            </m:sup>
          </m:sSubSup>
          <m:r>
            <m:rPr>
              <m:sty m:val="p"/>
            </m:rPr>
            <m:t>∈</m:t>
          </m:r>
          <m:sSup>
            <m:e>
              <m:r>
                <m:rPr>
                  <m:scr m:val="double-struck"/>
                  <m:sty m:val="p"/>
                </m:rPr>
                <m:t>R</m:t>
              </m:r>
            </m:e>
            <m:sup>
              <m:r>
                <m:t>16</m:t>
              </m:r>
            </m:sup>
          </m:sSup>
          <m:r>
            <m:rPr>
              <m:sty m:val="p"/>
            </m:rPr>
            <m:t>.</m:t>
          </m:r>
        </m:oMath>
      </m:oMathPara>
    </w:p>
    <w:p>
      <w:pPr>
        <w:pStyle w:val="FirstParagraph"/>
      </w:pPr>
      <w:r>
        <w:t xml:space="preserve">Source and destination embeddings</w:t>
      </w:r>
      <w:r>
        <w:t xml:space="preserve"> </w:t>
      </w:r>
      <m:oMath>
        <m:sSub>
          <m:e>
            <m:r>
              <m:rPr>
                <m:sty m:val="b"/>
              </m:rPr>
              <m:t>E</m:t>
            </m:r>
          </m:e>
          <m:sub>
            <m:r>
              <m:t>s</m:t>
            </m:r>
          </m:sub>
        </m:sSub>
        <m:r>
          <m:rPr>
            <m:sty m:val="p"/>
          </m:rPr>
          <m:t>,</m:t>
        </m:r>
        <m:sSub>
          <m:e>
            <m:r>
              <m:rPr>
                <m:sty m:val="b"/>
              </m:rPr>
              <m:t>E</m:t>
            </m:r>
          </m:e>
          <m:sub>
            <m:r>
              <m:t>t</m:t>
            </m:r>
          </m:sub>
        </m:sSub>
        <m:r>
          <m:rPr>
            <m:sty m:val="p"/>
          </m:rPr>
          <m:t>∈</m:t>
        </m:r>
        <m:sSup>
          <m:e>
            <m:r>
              <m:rPr>
                <m:scr m:val="double-struck"/>
                <m:sty m:val="p"/>
              </m:rPr>
              <m:t>R</m:t>
            </m:r>
          </m:e>
          <m:sup>
            <m:r>
              <m:t>N</m:t>
            </m:r>
            <m:r>
              <m:rPr>
                <m:sty m:val="p"/>
              </m:rPr>
              <m:t>×</m:t>
            </m:r>
            <m:r>
              <m:t>10</m:t>
            </m:r>
          </m:sup>
        </m:sSup>
      </m:oMath>
      <w:r>
        <w:t xml:space="preserve"> </w:t>
      </w:r>
      <w:r>
        <w:t xml:space="preserve">define a directed, row-normalized adjacency,</w:t>
      </w:r>
    </w:p>
    <w:p>
      <w:pPr>
        <w:pStyle w:val="BodyText"/>
      </w:pPr>
      <m:oMathPara>
        <m:oMathParaPr>
          <m:jc m:val="center"/>
        </m:oMathParaPr>
        <m:oMath>
          <m:sSub>
            <m:e>
              <m:r>
                <m:t>A</m:t>
              </m:r>
            </m:e>
            <m:sub>
              <m:r>
                <m:t>i</m:t>
              </m:r>
              <m:r>
                <m:t>j</m:t>
              </m:r>
            </m:sub>
          </m:sSub>
          <m:r>
            <m:rPr>
              <m:sty m:val="p"/>
            </m:rPr>
            <m:t>=</m:t>
          </m:r>
          <m:f>
            <m:fPr>
              <m:type m:val="bar"/>
            </m:fPr>
            <m:num>
              <m:r>
                <m:rPr>
                  <m:sty m:val="p"/>
                </m:rPr>
                <m:t>exp</m:t>
              </m:r>
              <m:r>
                <m:rPr>
                  <m:sty m:val="p"/>
                </m:rPr>
                <m:t>(</m:t>
              </m:r>
              <m:sSubSup>
                <m:e>
                  <m:r>
                    <m:rPr>
                      <m:sty m:val="b"/>
                    </m:rPr>
                    <m:t>e</m:t>
                  </m:r>
                </m:e>
                <m:sub>
                  <m:r>
                    <m:t>i</m:t>
                  </m:r>
                </m:sub>
                <m:sup>
                  <m:r>
                    <m:t>s</m:t>
                  </m:r>
                  <m:r>
                    <m:rPr>
                      <m:sty m:val="p"/>
                    </m:rPr>
                    <m:t>⊤</m:t>
                  </m:r>
                </m:sup>
              </m:sSubSup>
              <m:sSubSup>
                <m:e>
                  <m:r>
                    <m:rPr>
                      <m:sty m:val="b"/>
                    </m:rPr>
                    <m:t>e</m:t>
                  </m:r>
                </m:e>
                <m:sub>
                  <m:r>
                    <m:t>j</m:t>
                  </m:r>
                </m:sub>
                <m:sup>
                  <m:r>
                    <m:t>t</m:t>
                  </m:r>
                </m:sup>
              </m:sSubSup>
              <m:r>
                <m:rPr>
                  <m:sty m:val="p"/>
                </m:rPr>
                <m:t>)</m:t>
              </m:r>
            </m:num>
            <m:den>
              <m:nary>
                <m:naryPr>
                  <m:chr m:val="∑"/>
                  <m:limLoc m:val="undOvr"/>
                  <m:subHide m:val="off"/>
                  <m:supHide m:val="off"/>
                </m:naryPr>
                <m:sub>
                  <m:r>
                    <m:t>ℓ</m:t>
                  </m:r>
                  <m:r>
                    <m:rPr>
                      <m:sty m:val="p"/>
                    </m:rPr>
                    <m:t>=</m:t>
                  </m:r>
                  <m:r>
                    <m:t>1</m:t>
                  </m:r>
                </m:sub>
                <m:sup>
                  <m:r>
                    <m:t>N</m:t>
                  </m:r>
                </m:sup>
                <m:e>
                  <m:r>
                    <m:rPr>
                      <m:sty m:val="p"/>
                    </m:rPr>
                    <m:t>exp</m:t>
                  </m:r>
                </m:e>
              </m:nary>
              <m:r>
                <m:rPr>
                  <m:sty m:val="p"/>
                </m:rPr>
                <m:t>(</m:t>
              </m:r>
              <m:sSubSup>
                <m:e>
                  <m:r>
                    <m:rPr>
                      <m:sty m:val="b"/>
                    </m:rPr>
                    <m:t>e</m:t>
                  </m:r>
                </m:e>
                <m:sub>
                  <m:r>
                    <m:t>i</m:t>
                  </m:r>
                </m:sub>
                <m:sup>
                  <m:r>
                    <m:t>s</m:t>
                  </m:r>
                  <m:r>
                    <m:rPr>
                      <m:sty m:val="p"/>
                    </m:rPr>
                    <m:t>⊤</m:t>
                  </m:r>
                </m:sup>
              </m:sSubSup>
              <m:sSubSup>
                <m:e>
                  <m:r>
                    <m:rPr>
                      <m:sty m:val="b"/>
                    </m:rPr>
                    <m:t>e</m:t>
                  </m:r>
                </m:e>
                <m:sub>
                  <m:r>
                    <m:t>ℓ</m:t>
                  </m:r>
                </m:sub>
                <m:sup>
                  <m:r>
                    <m:t>t</m:t>
                  </m:r>
                </m:sup>
              </m:sSubSup>
              <m:r>
                <m:rPr>
                  <m:sty m:val="p"/>
                </m:rPr>
                <m:t>)</m:t>
              </m:r>
            </m:den>
          </m:f>
          <m:r>
            <m:rPr>
              <m:sty m:val="p"/>
            </m:rPr>
            <m:t>.</m:t>
          </m:r>
        </m:oMath>
      </m:oMathPara>
    </w:p>
    <w:p>
      <w:pPr>
        <w:pStyle w:val="FirstParagraph"/>
      </w:pPr>
      <w:r>
        <w:t xml:space="preserve">This adjacency uses the same softmax of source–destination embedding</w:t>
      </w:r>
      <w:r>
        <w:t xml:space="preserve"> </w:t>
      </w:r>
      <w:r>
        <w:t xml:space="preserve">products as ASTTN (Eq. 8) </w:t>
      </w:r>
      <w:r>
        <w:rPr>
          <w:vertAlign w:val="superscript"/>
        </w:rPr>
        <w:t xml:space="preserve">20</w:t>
      </w:r>
      <w:r>
        <w:t xml:space="preserve">; the graph aggregation</w:t>
      </w:r>
      <w:r>
        <w:t xml:space="preserve"> </w:t>
      </w:r>
      <w:r>
        <w:t xml:space="preserve">and fusion implementation used here is specified below.</w:t>
      </w:r>
      <w:r>
        <w:t xml:space="preserve"> </w:t>
      </w:r>
      <w:r>
        <w:t xml:space="preserve">This graph is parameter dependent but does not change with the input</w:t>
      </w:r>
      <w:r>
        <w:t xml:space="preserve"> </w:t>
      </w:r>
      <w:r>
        <w:t xml:space="preserve">weather sample. The implementation retains the self-edge and the largest</w:t>
      </w:r>
      <w:r>
        <w:t xml:space="preserve"> </w:t>
      </w:r>
      <m:oMath>
        <m:r>
          <m:t>k</m:t>
        </m:r>
        <m:r>
          <m:rPr>
            <m:sty m:val="p"/>
          </m:rPr>
          <m:t>−</m:t>
        </m:r>
        <m:r>
          <m:t>1</m:t>
        </m:r>
      </m:oMath>
      <w:r>
        <w:t xml:space="preserve"> </w:t>
      </w:r>
      <w:r>
        <w:t xml:space="preserve">non-self entries, with</w:t>
      </w:r>
      <w:r>
        <w:t xml:space="preserve"> </w:t>
      </w:r>
      <m:oMath>
        <m:r>
          <m:t>k</m:t>
        </m:r>
        <m:r>
          <m:rPr>
            <m:sty m:val="p"/>
          </m:rPr>
          <m:t>=</m:t>
        </m:r>
        <m:r>
          <m:t>4</m:t>
        </m:r>
      </m:oMath>
      <w:r>
        <w:t xml:space="preserve">, then renormalizes:</w:t>
      </w:r>
    </w:p>
    <w:p>
      <w:pPr>
        <w:pStyle w:val="BodyText"/>
      </w:pPr>
      <m:oMathPara>
        <m:oMathParaPr>
          <m:jc m:val="center"/>
        </m:oMathParaPr>
        <m:oMath>
          <m:sSub>
            <m:e>
              <m:r>
                <m:rPr>
                  <m:scr m:val="script"/>
                  <m:sty m:val="p"/>
                </m:rPr>
                <m:t>T</m:t>
              </m:r>
            </m:e>
            <m:sub>
              <m:r>
                <m:t>k</m:t>
              </m:r>
            </m:sub>
          </m:sSub>
          <m:r>
            <m:rPr>
              <m:sty m:val="p"/>
            </m:rPr>
            <m:t>(</m:t>
          </m:r>
          <m:r>
            <m:t>i</m:t>
          </m:r>
          <m:r>
            <m:rPr>
              <m:sty m:val="p"/>
            </m:rPr>
            <m:t>)</m:t>
          </m:r>
          <m:r>
            <m:rPr>
              <m:sty m:val="p"/>
            </m:rPr>
            <m:t>=</m:t>
          </m:r>
          <m:r>
            <m:rPr>
              <m:sty m:val="p"/>
            </m:rPr>
            <m:t>{</m:t>
          </m:r>
          <m:r>
            <m:t>i</m:t>
          </m:r>
          <m:r>
            <m:rPr>
              <m:sty m:val="p"/>
            </m:rPr>
            <m:t>}</m:t>
          </m:r>
          <m:r>
            <m:rPr>
              <m:sty m:val="p"/>
            </m:rPr>
            <m:t>∪</m:t>
          </m:r>
          <m:sSub>
            <m:e>
              <m:r>
                <m:rPr>
                  <m:sty m:val="p"/>
                </m:rPr>
                <m:t>top</m:t>
              </m:r>
            </m:e>
            <m:sub>
              <m:r>
                <m:t>k</m:t>
              </m:r>
              <m:r>
                <m:rPr>
                  <m:sty m:val="p"/>
                </m:rPr>
                <m:t>−</m:t>
              </m:r>
              <m:r>
                <m:t>1</m:t>
              </m:r>
            </m:sub>
          </m:sSub>
          <m:r>
            <m:rPr>
              <m:sty m:val="p"/>
            </m:rPr>
            <m:t>{</m:t>
          </m:r>
          <m:sSub>
            <m:e>
              <m:r>
                <m:t>A</m:t>
              </m:r>
            </m:e>
            <m:sub>
              <m:r>
                <m:t>i</m:t>
              </m:r>
              <m:r>
                <m:t>j</m:t>
              </m:r>
            </m:sub>
          </m:sSub>
          <m:r>
            <m:rPr>
              <m:sty m:val="p"/>
            </m:rPr>
            <m:t>:</m:t>
          </m:r>
          <m:r>
            <m:t>j</m:t>
          </m:r>
          <m:r>
            <m:rPr>
              <m:sty m:val="p"/>
            </m:rPr>
            <m:t>≠</m:t>
          </m:r>
          <m:r>
            <m:t>i</m:t>
          </m:r>
          <m:r>
            <m:rPr>
              <m:sty m:val="p"/>
            </m:rPr>
            <m:t>}</m:t>
          </m:r>
          <m:r>
            <m:rPr>
              <m:sty m:val="p"/>
            </m:rPr>
            <m:t>,</m:t>
          </m:r>
          <m:r>
            <m:t>  </m:t>
          </m:r>
          <m:sSub>
            <m:e>
              <m:acc>
                <m:accPr>
                  <m:chr m:val="̃"/>
                </m:accPr>
                <m:e>
                  <m:r>
                    <m:t>A</m:t>
                  </m:r>
                </m:e>
              </m:acc>
            </m:e>
            <m:sub>
              <m:r>
                <m:t>i</m:t>
              </m:r>
              <m:r>
                <m:t>j</m:t>
              </m:r>
            </m:sub>
          </m:sSub>
          <m:r>
            <m:rPr>
              <m:sty m:val="p"/>
            </m:rPr>
            <m:t>=</m:t>
          </m:r>
          <m:f>
            <m:fPr>
              <m:type m:val="bar"/>
            </m:fPr>
            <m:num>
              <m:sSub>
                <m:e>
                  <m:r>
                    <m:t>A</m:t>
                  </m:r>
                </m:e>
                <m:sub>
                  <m:r>
                    <m:t>i</m:t>
                  </m:r>
                  <m:r>
                    <m:t>j</m:t>
                  </m:r>
                </m:sub>
              </m:sSub>
            </m:num>
            <m:den>
              <m:nary>
                <m:naryPr>
                  <m:chr m:val="∑"/>
                  <m:limLoc m:val="undOvr"/>
                  <m:subHide m:val="off"/>
                  <m:supHide m:val="on"/>
                </m:naryPr>
                <m:sub>
                  <m:r>
                    <m:t>ℓ</m:t>
                  </m:r>
                  <m:r>
                    <m:rPr>
                      <m:sty m:val="p"/>
                    </m:rPr>
                    <m:t>∈</m:t>
                  </m:r>
                  <m:sSub>
                    <m:e>
                      <m:r>
                        <m:rPr>
                          <m:scr m:val="script"/>
                          <m:sty m:val="p"/>
                        </m:rPr>
                        <m:t>T</m:t>
                      </m:r>
                    </m:e>
                    <m:sub>
                      <m:r>
                        <m:t>k</m:t>
                      </m:r>
                    </m:sub>
                  </m:sSub>
                  <m:r>
                    <m:rPr>
                      <m:sty m:val="p"/>
                    </m:rPr>
                    <m:t>(</m:t>
                  </m:r>
                  <m:r>
                    <m:t>i</m:t>
                  </m:r>
                  <m:r>
                    <m:rPr>
                      <m:sty m:val="p"/>
                    </m:rPr>
                    <m:t>)</m:t>
                  </m:r>
                </m:sub>
                <m:sup>
                  <m:r>
                    <m:t>​</m:t>
                  </m:r>
                </m:sup>
                <m:e>
                  <m:sSub>
                    <m:e>
                      <m:r>
                        <m:t>A</m:t>
                      </m:r>
                    </m:e>
                    <m:sub>
                      <m:r>
                        <m:t>i</m:t>
                      </m:r>
                      <m:r>
                        <m:t>ℓ</m:t>
                      </m:r>
                    </m:sub>
                  </m:sSub>
                </m:e>
              </m:nary>
            </m:den>
          </m:f>
          <m:r>
            <m:t> </m:t>
          </m:r>
          <m:r>
            <m:rPr>
              <m:sty m:val="p"/>
            </m:rPr>
            <m:t>(</m:t>
          </m:r>
          <m:r>
            <m:t>j</m:t>
          </m:r>
          <m:r>
            <m:rPr>
              <m:sty m:val="p"/>
            </m:rPr>
            <m:t>∈</m:t>
          </m:r>
          <m:sSub>
            <m:e>
              <m:r>
                <m:rPr>
                  <m:scr m:val="script"/>
                  <m:sty m:val="p"/>
                </m:rPr>
                <m:t>T</m:t>
              </m:r>
            </m:e>
            <m:sub>
              <m:r>
                <m:t>k</m:t>
              </m:r>
            </m:sub>
          </m:sSub>
          <m:r>
            <m:rPr>
              <m:sty m:val="p"/>
            </m:rPr>
            <m:t>(</m:t>
          </m:r>
          <m:r>
            <m:t>i</m:t>
          </m:r>
          <m:r>
            <m:rPr>
              <m:sty m:val="p"/>
            </m:rPr>
            <m:t>)</m:t>
          </m:r>
          <m:r>
            <m:rPr>
              <m:sty m:val="p"/>
            </m:rPr>
            <m:t>)</m:t>
          </m:r>
          <m:r>
            <m:rPr>
              <m:sty m:val="p"/>
            </m:rPr>
            <m:t>.</m:t>
          </m:r>
        </m:oMath>
      </m:oMathPara>
    </w:p>
    <w:p>
      <w:pPr>
        <w:pStyle w:val="FirstParagraph"/>
      </w:pPr>
      <w:r>
        <w:t xml:space="preserve">Here</w:t>
      </w:r>
      <w:r>
        <w:t xml:space="preserve"> </w:t>
      </w:r>
      <m:oMath>
        <m:sSub>
          <m:e>
            <m:r>
              <m:rPr>
                <m:sty m:val="p"/>
              </m:rPr>
              <m:t>top</m:t>
            </m:r>
          </m:e>
          <m:sub>
            <m:r>
              <m:t>k</m:t>
            </m:r>
            <m:r>
              <m:rPr>
                <m:sty m:val="p"/>
              </m:rPr>
              <m:t>−</m:t>
            </m:r>
            <m:r>
              <m:t>1</m:t>
            </m:r>
          </m:sub>
        </m:sSub>
      </m:oMath>
      <w:r>
        <w:t xml:space="preserve"> </w:t>
      </w:r>
      <w:r>
        <w:t xml:space="preserve">returns indices. Selection does not exclude</w:t>
      </w:r>
      <w:r>
        <w:t xml:space="preserve"> </w:t>
      </w:r>
      <w:r>
        <w:t xml:space="preserve">geographically nearby nodes, so the learned edges are potentially long-range</w:t>
      </w:r>
      <w:r>
        <w:t xml:space="preserve"> </w:t>
      </w:r>
      <w:r>
        <w:t xml:space="preserve">but are not guaranteed to be nonlocal.</w:t>
      </w:r>
      <w:r>
        <w:t xml:space="preserve"> </w:t>
      </w:r>
      <w:r>
        <w:t xml:space="preserve">Aggregation, projections, and fusion follow the source-code order:</w:t>
      </w:r>
    </w:p>
    <w:p>
      <w:pPr>
        <w:pStyle w:val="BodyText"/>
      </w:pPr>
      <m:oMathPara>
        <m:oMathParaPr>
          <m:jc m:val="center"/>
        </m:oMathParaPr>
        <m:oMath>
          <m:eqArr>
            <m:e>
              <m:sSub>
                <m:e>
                  <m:r>
                    <m:rPr>
                      <m:sty m:val="b"/>
                    </m:rPr>
                    <m:t>m</m:t>
                  </m:r>
                </m:e>
                <m:sub>
                  <m:r>
                    <m:t>b</m:t>
                  </m:r>
                  <m:r>
                    <m:t>t</m:t>
                  </m:r>
                  <m:r>
                    <m:t>i</m:t>
                  </m:r>
                </m:sub>
              </m:sSub>
              <m:r>
                <m:t>&amp;</m:t>
              </m:r>
              <m:r>
                <m:rPr>
                  <m:sty m:val="p"/>
                </m:rPr>
                <m:t>=</m:t>
              </m:r>
              <m:nary>
                <m:naryPr>
                  <m:chr m:val="∑"/>
                  <m:limLoc m:val="undOvr"/>
                  <m:subHide m:val="off"/>
                  <m:supHide m:val="on"/>
                </m:naryPr>
                <m:sub>
                  <m:r>
                    <m:t>j</m:t>
                  </m:r>
                  <m:r>
                    <m:rPr>
                      <m:sty m:val="p"/>
                    </m:rPr>
                    <m:t>∈</m:t>
                  </m:r>
                  <m:sSub>
                    <m:e>
                      <m:r>
                        <m:rPr>
                          <m:scr m:val="script"/>
                          <m:sty m:val="p"/>
                        </m:rPr>
                        <m:t>T</m:t>
                      </m:r>
                    </m:e>
                    <m:sub>
                      <m:r>
                        <m:t>k</m:t>
                      </m:r>
                    </m:sub>
                  </m:sSub>
                  <m:r>
                    <m:rPr>
                      <m:sty m:val="p"/>
                    </m:rPr>
                    <m:t>(</m:t>
                  </m:r>
                  <m:r>
                    <m:t>i</m:t>
                  </m:r>
                  <m:r>
                    <m:rPr>
                      <m:sty m:val="p"/>
                    </m:rPr>
                    <m:t>)</m:t>
                  </m:r>
                </m:sub>
                <m:sup>
                  <m:r>
                    <m:t>​</m:t>
                  </m:r>
                </m:sup>
                <m:e>
                  <m:sSub>
                    <m:e>
                      <m:acc>
                        <m:accPr>
                          <m:chr m:val="̃"/>
                        </m:accPr>
                        <m:e>
                          <m:r>
                            <m:t>A</m:t>
                          </m:r>
                        </m:e>
                      </m:acc>
                    </m:e>
                    <m:sub>
                      <m:r>
                        <m:t>i</m:t>
                      </m:r>
                      <m:r>
                        <m:t>j</m:t>
                      </m:r>
                    </m:sub>
                  </m:sSub>
                </m:e>
              </m:nary>
              <m:sSub>
                <m:e>
                  <m:r>
                    <m:rPr>
                      <m:sty m:val="b"/>
                    </m:rPr>
                    <m:t>F</m:t>
                  </m:r>
                </m:e>
                <m:sub>
                  <m:r>
                    <m:t>b</m:t>
                  </m:r>
                  <m:r>
                    <m:t>t</m:t>
                  </m:r>
                  <m:r>
                    <m:t>j</m:t>
                  </m:r>
                </m:sub>
              </m:sSub>
              <m:r>
                <m:rPr>
                  <m:sty m:val="p"/>
                </m:rPr>
                <m:t>,</m:t>
              </m:r>
            </m:e>
            <m:e>
              <m:sSub>
                <m:e>
                  <m:r>
                    <m:rPr>
                      <m:sty m:val="b"/>
                    </m:rPr>
                    <m:t>q</m:t>
                  </m:r>
                </m:e>
                <m:sub>
                  <m:r>
                    <m:t>b</m:t>
                  </m:r>
                  <m:r>
                    <m:t>t</m:t>
                  </m:r>
                  <m:r>
                    <m:t>i</m:t>
                  </m:r>
                </m:sub>
              </m:sSub>
              <m:r>
                <m:t>&amp;</m:t>
              </m:r>
              <m:r>
                <m:rPr>
                  <m:sty m:val="p"/>
                </m:rPr>
                <m:t>=</m:t>
              </m:r>
              <m:sSub>
                <m:e>
                  <m:r>
                    <m:rPr>
                      <m:sty m:val="b"/>
                    </m:rPr>
                    <m:t>W</m:t>
                  </m:r>
                </m:e>
                <m:sub>
                  <m:r>
                    <m:t>m</m:t>
                  </m:r>
                </m:sub>
              </m:sSub>
              <m:sSub>
                <m:e>
                  <m:r>
                    <m:rPr>
                      <m:sty m:val="b"/>
                    </m:rPr>
                    <m:t>m</m:t>
                  </m:r>
                </m:e>
                <m:sub>
                  <m:r>
                    <m:t>b</m:t>
                  </m:r>
                  <m:r>
                    <m:t>t</m:t>
                  </m:r>
                  <m:r>
                    <m:t>i</m:t>
                  </m:r>
                </m:sub>
              </m:sSub>
              <m:r>
                <m:rPr>
                  <m:sty m:val="p"/>
                </m:rPr>
                <m:t>+</m:t>
              </m:r>
              <m:sSub>
                <m:e>
                  <m:r>
                    <m:rPr>
                      <m:sty m:val="b"/>
                    </m:rPr>
                    <m:t>b</m:t>
                  </m:r>
                </m:e>
                <m:sub>
                  <m:r>
                    <m:t>m</m:t>
                  </m:r>
                </m:sub>
              </m:sSub>
              <m:r>
                <m:rPr>
                  <m:sty m:val="p"/>
                </m:rPr>
                <m:t>,</m:t>
              </m:r>
              <m:r>
                <m:t>&amp;</m:t>
              </m:r>
              <m:sSub>
                <m:e>
                  <m:r>
                    <m:rPr>
                      <m:sty m:val="b"/>
                    </m:rPr>
                    <m:t>r</m:t>
                  </m:r>
                </m:e>
                <m:sub>
                  <m:r>
                    <m:t>b</m:t>
                  </m:r>
                  <m:r>
                    <m:t>t</m:t>
                  </m:r>
                  <m:r>
                    <m:t>i</m:t>
                  </m:r>
                </m:sub>
              </m:sSub>
              <m:r>
                <m:t>&amp;</m:t>
              </m:r>
              <m:r>
                <m:rPr>
                  <m:sty m:val="p"/>
                </m:rPr>
                <m:t>=</m:t>
              </m:r>
              <m:sSub>
                <m:e>
                  <m:r>
                    <m:rPr>
                      <m:sty m:val="b"/>
                    </m:rPr>
                    <m:t>W</m:t>
                  </m:r>
                </m:e>
                <m:sub>
                  <m:r>
                    <m:t>r</m:t>
                  </m:r>
                </m:sub>
              </m:sSub>
              <m:sSub>
                <m:e>
                  <m:r>
                    <m:rPr>
                      <m:sty m:val="b"/>
                    </m:rPr>
                    <m:t>F</m:t>
                  </m:r>
                </m:e>
                <m:sub>
                  <m:r>
                    <m:t>b</m:t>
                  </m:r>
                  <m:r>
                    <m:t>t</m:t>
                  </m:r>
                  <m:r>
                    <m:t>i</m:t>
                  </m:r>
                </m:sub>
              </m:sSub>
              <m:r>
                <m:rPr>
                  <m:sty m:val="p"/>
                </m:rPr>
                <m:t>+</m:t>
              </m:r>
              <m:sSub>
                <m:e>
                  <m:r>
                    <m:rPr>
                      <m:sty m:val="b"/>
                    </m:rPr>
                    <m:t>b</m:t>
                  </m:r>
                </m:e>
                <m:sub>
                  <m:r>
                    <m:t>r</m:t>
                  </m:r>
                </m:sub>
              </m:sSub>
              <m:r>
                <m:rPr>
                  <m:sty m:val="p"/>
                </m:rPr>
                <m:t>,</m:t>
              </m:r>
            </m:e>
            <m:e>
              <m:sSub>
                <m:e>
                  <m:r>
                    <m:rPr>
                      <m:sty m:val="b"/>
                    </m:rPr>
                    <m:t>g</m:t>
                  </m:r>
                </m:e>
                <m:sub>
                  <m:r>
                    <m:t>b</m:t>
                  </m:r>
                  <m:r>
                    <m:t>t</m:t>
                  </m:r>
                  <m:r>
                    <m:t>i</m:t>
                  </m:r>
                </m:sub>
              </m:sSub>
              <m:r>
                <m:t>&amp;</m:t>
              </m:r>
              <m:r>
                <m:rPr>
                  <m:sty m:val="p"/>
                </m:rPr>
                <m:t>=</m:t>
              </m:r>
              <m:r>
                <m:t>σ</m:t>
              </m:r>
              <m:d>
                <m:dPr>
                  <m:begChr m:val="("/>
                  <m:sepChr m:val=""/>
                  <m:endChr m:val=")"/>
                  <m:grow/>
                </m:dPr>
                <m:e>
                  <m:sSub>
                    <m:e>
                      <m:r>
                        <m:rPr>
                          <m:sty m:val="b"/>
                        </m:rPr>
                        <m:t>W</m:t>
                      </m:r>
                    </m:e>
                    <m:sub>
                      <m:r>
                        <m:t>g</m:t>
                      </m:r>
                    </m:sub>
                  </m:sSub>
                  <m:r>
                    <m:rPr>
                      <m:sty m:val="p"/>
                    </m:rPr>
                    <m:t>[</m:t>
                  </m:r>
                  <m:sSub>
                    <m:e>
                      <m:r>
                        <m:rPr>
                          <m:sty m:val="b"/>
                        </m:rPr>
                        <m:t>r</m:t>
                      </m:r>
                    </m:e>
                    <m:sub>
                      <m:r>
                        <m:t>b</m:t>
                      </m:r>
                      <m:r>
                        <m:t>t</m:t>
                      </m:r>
                      <m:r>
                        <m:t>i</m:t>
                      </m:r>
                    </m:sub>
                  </m:sSub>
                  <m:r>
                    <m:rPr>
                      <m:sty m:val="p"/>
                    </m:rPr>
                    <m:t>‖</m:t>
                  </m:r>
                  <m:sSub>
                    <m:e>
                      <m:r>
                        <m:rPr>
                          <m:sty m:val="b"/>
                        </m:rPr>
                        <m:t>q</m:t>
                      </m:r>
                    </m:e>
                    <m:sub>
                      <m:r>
                        <m:t>b</m:t>
                      </m:r>
                      <m:r>
                        <m:t>t</m:t>
                      </m:r>
                      <m:r>
                        <m:t>i</m:t>
                      </m:r>
                    </m:sub>
                  </m:sSub>
                  <m:r>
                    <m:rPr>
                      <m:sty m:val="p"/>
                    </m:rPr>
                    <m:t>]</m:t>
                  </m:r>
                  <m:r>
                    <m:rPr>
                      <m:sty m:val="p"/>
                    </m:rPr>
                    <m:t>+</m:t>
                  </m:r>
                  <m:sSub>
                    <m:e>
                      <m:r>
                        <m:rPr>
                          <m:sty m:val="b"/>
                        </m:rPr>
                        <m:t>b</m:t>
                      </m:r>
                    </m:e>
                    <m:sub>
                      <m:r>
                        <m:t>g</m:t>
                      </m:r>
                    </m:sub>
                  </m:sSub>
                </m:e>
              </m:d>
              <m:r>
                <m:rPr>
                  <m:sty m:val="p"/>
                </m:rPr>
                <m:t>,</m:t>
              </m:r>
            </m:e>
            <m:e>
              <m:sSub>
                <m:e>
                  <m:r>
                    <m:rPr>
                      <m:sty m:val="b"/>
                    </m:rPr>
                    <m:t>z</m:t>
                  </m:r>
                </m:e>
                <m:sub>
                  <m:r>
                    <m:t>b</m:t>
                  </m:r>
                  <m:r>
                    <m:t>t</m:t>
                  </m:r>
                  <m:r>
                    <m:t>i</m:t>
                  </m:r>
                </m:sub>
              </m:sSub>
              <m:r>
                <m:t>&amp;</m:t>
              </m:r>
              <m:r>
                <m:rPr>
                  <m:sty m:val="p"/>
                </m:rPr>
                <m:t>=</m:t>
              </m:r>
              <m:sSub>
                <m:e>
                  <m:r>
                    <m:rPr>
                      <m:sty m:val="b"/>
                    </m:rPr>
                    <m:t>g</m:t>
                  </m:r>
                </m:e>
                <m:sub>
                  <m:r>
                    <m:t>b</m:t>
                  </m:r>
                  <m:r>
                    <m:t>t</m:t>
                  </m:r>
                  <m:r>
                    <m:t>i</m:t>
                  </m:r>
                </m:sub>
              </m:sSub>
              <m:r>
                <m:rPr>
                  <m:sty m:val="p"/>
                </m:rPr>
                <m:t>⊙</m:t>
              </m:r>
              <m:sSub>
                <m:e>
                  <m:r>
                    <m:rPr>
                      <m:sty m:val="b"/>
                    </m:rPr>
                    <m:t>q</m:t>
                  </m:r>
                </m:e>
                <m:sub>
                  <m:r>
                    <m:t>b</m:t>
                  </m:r>
                  <m:r>
                    <m:t>t</m:t>
                  </m:r>
                  <m:r>
                    <m:t>i</m:t>
                  </m:r>
                </m:sub>
              </m:sSub>
              <m:r>
                <m:rPr>
                  <m:sty m:val="p"/>
                </m:rPr>
                <m:t>+</m:t>
              </m:r>
              <m:r>
                <m:rPr>
                  <m:sty m:val="p"/>
                </m:rPr>
                <m:t>(</m:t>
              </m:r>
              <m:r>
                <m:t>1</m:t>
              </m:r>
              <m:r>
                <m:rPr>
                  <m:sty m:val="p"/>
                </m:rPr>
                <m:t>−</m:t>
              </m:r>
              <m:sSub>
                <m:e>
                  <m:r>
                    <m:rPr>
                      <m:sty m:val="b"/>
                    </m:rPr>
                    <m:t>g</m:t>
                  </m:r>
                </m:e>
                <m:sub>
                  <m:r>
                    <m:t>b</m:t>
                  </m:r>
                  <m:r>
                    <m:t>t</m:t>
                  </m:r>
                  <m:r>
                    <m:t>i</m:t>
                  </m:r>
                </m:sub>
              </m:sSub>
              <m:r>
                <m:rPr>
                  <m:sty m:val="p"/>
                </m:rPr>
                <m:t>)</m:t>
              </m:r>
              <m:r>
                <m:rPr>
                  <m:sty m:val="p"/>
                </m:rPr>
                <m:t>⊙</m:t>
              </m:r>
              <m:sSub>
                <m:e>
                  <m:r>
                    <m:rPr>
                      <m:sty m:val="b"/>
                    </m:rPr>
                    <m:t>r</m:t>
                  </m:r>
                </m:e>
                <m:sub>
                  <m:r>
                    <m:t>b</m:t>
                  </m:r>
                  <m:r>
                    <m:t>t</m:t>
                  </m:r>
                  <m:r>
                    <m:t>i</m:t>
                  </m:r>
                </m:sub>
              </m:sSub>
              <m:r>
                <m:rPr>
                  <m:sty m:val="p"/>
                </m:rPr>
                <m:t>∈</m:t>
              </m:r>
              <m:sSup>
                <m:e>
                  <m:r>
                    <m:rPr>
                      <m:scr m:val="double-struck"/>
                      <m:sty m:val="p"/>
                    </m:rPr>
                    <m:t>R</m:t>
                  </m:r>
                </m:e>
                <m:sup>
                  <m:r>
                    <m:t>8</m:t>
                  </m:r>
                </m:sup>
              </m:sSup>
              <m:r>
                <m:rPr>
                  <m:sty m:val="p"/>
                </m:rPr>
                <m:t>.</m:t>
              </m:r>
            </m:e>
          </m:eqArr>
        </m:oMath>
      </m:oMathPara>
    </w:p>
    <w:p>
      <w:pPr>
        <w:pStyle w:val="FirstParagraph"/>
      </w:pPr>
      <w:r>
        <w:t xml:space="preserve">Both branches act on the same pre-CLConv input. In particular,</w:t>
      </w:r>
      <w:r>
        <w:t xml:space="preserve"> </w:t>
      </w:r>
      <m:oMath>
        <m:r>
          <m:rPr>
            <m:sty m:val="b"/>
          </m:rPr>
          <m:t>r</m:t>
        </m:r>
      </m:oMath>
      <w:r>
        <w:t xml:space="preserve"> </w:t>
      </w:r>
      <w:r>
        <w:t xml:space="preserve">is a node-wise residual linear projection, not a</w:t>
      </w:r>
      <w:r>
        <w:t xml:space="preserve"> </w:t>
      </w:r>
      <w:r>
        <w:t xml:space="preserve">geometry-conditioned CLConv representation. The encoder receives</w:t>
      </w:r>
      <w:r>
        <w:t xml:space="preserve"> </w:t>
      </w:r>
      <m:oMath>
        <m:r>
          <m:rPr>
            <m:sty m:val="p"/>
          </m:rPr>
          <m:t>[</m:t>
        </m:r>
        <m:r>
          <m:rPr>
            <m:sty m:val="b"/>
          </m:rPr>
          <m:t>F</m:t>
        </m:r>
        <m:r>
          <m:rPr>
            <m:sty m:val="p"/>
          </m:rPr>
          <m:t>‖</m:t>
        </m:r>
        <m:acc>
          <m:accPr>
            <m:chr m:val="‾"/>
          </m:accPr>
          <m:e>
            <m:r>
              <m:rPr>
                <m:sty m:val="b"/>
              </m:rPr>
              <m:t>x</m:t>
            </m:r>
          </m:e>
        </m:acc>
        <m:r>
          <m:rPr>
            <m:sty m:val="p"/>
          </m:rPr>
          <m:t>‖</m:t>
        </m:r>
        <m:r>
          <m:rPr>
            <m:sty m:val="b"/>
          </m:rPr>
          <m:t>z</m:t>
        </m:r>
        <m:r>
          <m:rPr>
            <m:sty m:val="p"/>
          </m:rPr>
          <m:t>]</m:t>
        </m:r>
      </m:oMath>
      <w:r>
        <w:t xml:space="preserve">; the control receives</w:t>
      </w:r>
      <w:r>
        <w:t xml:space="preserve"> </w:t>
      </w:r>
      <m:oMath>
        <m:r>
          <m:rPr>
            <m:sty m:val="p"/>
          </m:rPr>
          <m:t>[</m:t>
        </m:r>
        <m:r>
          <m:rPr>
            <m:sty m:val="b"/>
          </m:rPr>
          <m:t>F</m:t>
        </m:r>
        <m:r>
          <m:rPr>
            <m:sty m:val="p"/>
          </m:rPr>
          <m:t>‖</m:t>
        </m:r>
        <m:acc>
          <m:accPr>
            <m:chr m:val="‾"/>
          </m:accPr>
          <m:e>
            <m:r>
              <m:rPr>
                <m:sty m:val="b"/>
              </m:rPr>
              <m:t>x</m:t>
            </m:r>
          </m:e>
        </m:acc>
        <m:r>
          <m:rPr>
            <m:sty m:val="p"/>
          </m:rPr>
          <m:t>]</m:t>
        </m:r>
      </m:oMath>
      <w:r>
        <w:t xml:space="preserve">. The corresponding input widths are</w:t>
      </w:r>
      <w:r>
        <w:t xml:space="preserve"> </w:t>
      </w:r>
      <w:r>
        <w:t xml:space="preserve">25 versus 17 for the scalar tasks and 26 versus 18 for wind. There is no</w:t>
      </w:r>
      <w:r>
        <w:t xml:space="preserve"> </w:t>
      </w:r>
      <w:r>
        <w:t xml:space="preserve">calendar input, periodic encoding, or multi-head attention in the primary</w:t>
      </w:r>
      <w:r>
        <w:t xml:space="preserve"> </w:t>
      </w:r>
      <w:r>
        <w:t xml:space="preserve">configuration. Figure 1 shows the corrected computation.</w:t>
      </w:r>
    </w:p>
    <w:bookmarkStart w:id="14" w:name="fig:overview"/>
    <w:p>
      <w:pPr>
        <w:pStyle w:val="CaptionedFigure"/>
      </w:pPr>
      <w:r>
        <w:drawing>
          <wp:inline>
            <wp:extent cx="5334000" cy="3042544"/>
            <wp:effectExtent b="0" l="0" r="0" t="0"/>
            <wp:docPr descr="" title="" id="12" name="Picture"/>
            <a:graphic>
              <a:graphicData uri="http://schemas.openxmlformats.org/drawingml/2006/picture">
                <pic:pic>
                  <pic:nvPicPr>
                    <pic:cNvPr descr="figs_revised/fig2_architecture.png" id="13" name="Picture"/>
                    <pic:cNvPicPr>
                      <a:picLocks noChangeArrowheads="1" noChangeAspect="1"/>
                    </pic:cNvPicPr>
                  </pic:nvPicPr>
                  <pic:blipFill>
                    <a:blip r:embed="rId11"/>
                    <a:stretch>
                      <a:fillRect/>
                    </a:stretch>
                  </pic:blipFill>
                  <pic:spPr bwMode="auto">
                    <a:xfrm>
                      <a:off x="0" y="0"/>
                      <a:ext cx="5334000" cy="3042544"/>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Implementation-aligned architecture.</w:t>
      </w:r>
      <w:r>
        <w:t xml:space="preserve"> </w:t>
      </w:r>
      <w:r>
        <w:t xml:space="preserve">(a) AGF augments the</w:t>
      </w:r>
      <w:r>
        <w:t xml:space="preserve"> </w:t>
      </w:r>
      <w:r>
        <w:t xml:space="preserve">input before the CLConv–GRU encoder. The original weather and node features</w:t>
      </w:r>
      <w:r>
        <w:t xml:space="preserve"> </w:t>
      </w:r>
      <w:r>
        <w:t xml:space="preserve">are retained through concatenation. (b) The graph-aggregated projection</w:t>
      </w:r>
      <w:r>
        <w:t xml:space="preserve"> </w:t>
      </w:r>
      <m:oMath>
        <m:r>
          <m:rPr>
            <m:sty m:val="b"/>
          </m:rPr>
          <m:t>q</m:t>
        </m:r>
      </m:oMath>
      <w:r>
        <w:t xml:space="preserve"> </w:t>
      </w:r>
      <w:r>
        <w:t xml:space="preserve">and residual projection</w:t>
      </w:r>
      <w:r>
        <w:t xml:space="preserve"> </w:t>
      </w:r>
      <m:oMath>
        <m:r>
          <m:rPr>
            <m:sty m:val="b"/>
          </m:rPr>
          <m:t>r</m:t>
        </m:r>
      </m:oMath>
      <w:r>
        <w:t xml:space="preserve"> </w:t>
      </w:r>
      <w:r>
        <w:t xml:space="preserve">share the same input</w:t>
      </w:r>
      <w:r>
        <w:t xml:space="preserve"> </w:t>
      </w:r>
      <m:oMath>
        <m:r>
          <m:rPr>
            <m:sty m:val="b"/>
          </m:rPr>
          <m:t>F</m:t>
        </m:r>
      </m:oMath>
      <w:r>
        <w:t xml:space="preserve">. The gate mixes these projections; it does not directly mix a</w:t>
      </w:r>
      <w:r>
        <w:t xml:space="preserve"> </w:t>
      </w:r>
      <w:r>
        <w:t xml:space="preserve">CLConv output with a graph output. The geographic CLConv operations occur</w:t>
      </w:r>
      <w:r>
        <w:t xml:space="preserve"> </w:t>
      </w:r>
      <w:r>
        <w:t xml:space="preserve">downstream.</w:t>
      </w:r>
    </w:p>
    <w:bookmarkEnd w:id="14"/>
    <w:bookmarkEnd w:id="15"/>
    <w:bookmarkStart w:id="16" w:name="sec:training"/>
    <w:p>
      <w:pPr>
        <w:pStyle w:val="Heading2"/>
        <w:keepNext/>
      </w:pPr>
      <w:r>
        <w:rPr>
          <w:rStyle w:val="SectionNumber"/>
        </w:rPr>
        <w:t xml:space="preserve">2.3</w:t>
      </w:r>
      <w:r>
        <w:tab/>
      </w:r>
      <w:r>
        <w:t xml:space="preserve">Matched new training and checkpoint selection</w:t>
      </w:r>
    </w:p>
    <w:p>
      <w:pPr>
        <w:pStyle w:val="FirstParagraph"/>
      </w:pPr>
      <w:r>
        <w:t xml:space="preserve">Both models use two recurrent layers with 32 hidden units, 8-dimensional</w:t>
      </w:r>
      <w:r>
        <w:t xml:space="preserve"> </w:t>
      </w:r>
      <w:r>
        <w:t xml:space="preserve">feature and node embeddings, one CLConv propagation view, and 25 geographic</w:t>
      </w:r>
      <w:r>
        <w:t xml:space="preserve"> </w:t>
      </w:r>
      <w:r>
        <w:t xml:space="preserve">neighbours. Adam uses learning rate 0.01 and</w:t>
      </w:r>
      <w:r>
        <w:t xml:space="preserve"> </w:t>
      </w:r>
      <m:oMath>
        <m:r>
          <m:t>ϵ</m:t>
        </m:r>
        <m:r>
          <m:rPr>
            <m:sty m:val="p"/>
          </m:rPr>
          <m:t>=</m:t>
        </m:r>
        <m:r>
          <m:t>0.001</m:t>
        </m:r>
      </m:oMath>
      <w:r>
        <w:t xml:space="preserve">, batch size 32,</w:t>
      </w:r>
      <w:r>
        <w:t xml:space="preserve"> </w:t>
      </w:r>
      <w:r>
        <w:t xml:space="preserve">gradient-norm clipping at 5, and MultiStepLR milestones</w:t>
      </w:r>
      <w:r>
        <w:t xml:space="preserve"> </w:t>
      </w:r>
      <m:oMath>
        <m:r>
          <m:rPr>
            <m:sty m:val="p"/>
          </m:rPr>
          <m:t>{</m:t>
        </m:r>
        <m:r>
          <m:t>10</m:t>
        </m:r>
        <m:r>
          <m:rPr>
            <m:sty m:val="p"/>
          </m:rPr>
          <m:t>,</m:t>
        </m:r>
        <m:r>
          <m:t>20</m:t>
        </m:r>
        <m:r>
          <m:rPr>
            <m:sty m:val="p"/>
          </m:rPr>
          <m:t>,</m:t>
        </m:r>
        <m:r>
          <m:t>30</m:t>
        </m:r>
        <m:r>
          <m:rPr>
            <m:sty m:val="p"/>
          </m:rPr>
          <m:t>,</m:t>
        </m:r>
        <m:r>
          <m:t>40</m:t>
        </m:r>
        <m:r>
          <m:rPr>
            <m:sty m:val="p"/>
          </m:rPr>
          <m:t>,</m:t>
        </m:r>
        <m:r>
          <m:t>50</m:t>
        </m:r>
        <m:r>
          <m:rPr>
            <m:sty m:val="p"/>
          </m:rPr>
          <m:t>}</m:t>
        </m:r>
      </m:oMath>
      <w:r>
        <w:t xml:space="preserve"> </w:t>
      </w:r>
      <w:r>
        <w:t xml:space="preserve">with factor 0.95. Every run completes 100 epochs; early stopping is disabled.</w:t>
      </w:r>
      <w:r>
        <w:t xml:space="preserve"> </w:t>
      </w:r>
      <w:r>
        <w:t xml:space="preserve">The curriculum-learning decay parameter is 2,000. All primary and ablation</w:t>
      </w:r>
      <w:r>
        <w:t xml:space="preserve"> </w:t>
      </w:r>
      <w:r>
        <w:t xml:space="preserve">runs use FP32, with automatic mixed precision and TF32 disabled.</w:t>
      </w:r>
      <w:r>
        <w:t xml:space="preserve"> </w:t>
      </w:r>
      <w:r>
        <w:t xml:space="preserve">Training and validation MAE are evaluated after inverse standardization,</w:t>
      </w:r>
      <w:r>
        <w:t xml:space="preserve"> </w:t>
      </w:r>
      <w:r>
        <w:t xml:space="preserve">including every finite target, including physically valid zero values.</w:t>
      </w:r>
      <w:r>
        <w:t xml:space="preserve"> </w:t>
      </w:r>
      <w:r>
        <w:t xml:space="preserve">Testing uses the same zero-inclusive support. Every epoch is saved atomically;</w:t>
      </w:r>
      <w:r>
        <w:t xml:space="preserve"> </w:t>
      </w:r>
      <w:r>
        <w:t xml:space="preserve">the earliest epoch attaining the minimum full-validation MAE is selected,</w:t>
      </w:r>
      <w:r>
        <w:t xml:space="preserve"> </w:t>
      </w:r>
      <w:r>
        <w:t xml:space="preserve">without consulting the test set. Checkpoints retain optimizer, scheduler,</w:t>
      </w:r>
      <w:r>
        <w:t xml:space="preserve"> </w:t>
      </w:r>
      <w:r>
        <w:t xml:space="preserve">random-number-generator and scaler states to permit interruption recovery.</w:t>
      </w:r>
      <w:r>
        <w:t xml:space="preserve"> </w:t>
      </w:r>
      <w:r>
        <w:t xml:space="preserve">All trainable parameters are materialized before optimizer construction,</w:t>
      </w:r>
      <w:r>
        <w:t xml:space="preserve"> </w:t>
      </w:r>
      <w:r>
        <w:t xml:space="preserve">and optimizer membership and gradient coverage are checked explicitly.</w:t>
      </w:r>
    </w:p>
    <w:p>
      <w:pPr>
        <w:pStyle w:val="BodyText"/>
      </w:pPr>
      <w:r>
        <w:t xml:space="preserve">The prior archive used a zero-exclusive objective. Its scores are superseded</w:t>
      </w:r>
      <w:r>
        <w:t xml:space="preserve"> </w:t>
      </w:r>
      <w:r>
        <w:t xml:space="preserve">by the newly trained results reported here. The correction therefore applies</w:t>
      </w:r>
      <w:r>
        <w:t xml:space="preserve"> </w:t>
      </w:r>
      <w:r>
        <w:t xml:space="preserve">to optimization and validation selection, rather than solely rescoring</w:t>
      </w:r>
      <w:r>
        <w:t xml:space="preserve"> </w:t>
      </w:r>
      <w:r>
        <w:t xml:space="preserve">historical checkpoints. Code is frozen before training, and per-run manifests</w:t>
      </w:r>
      <w:r>
        <w:t xml:space="preserve"> </w:t>
      </w:r>
      <w:r>
        <w:t xml:space="preserve">record source hashes, configuration, seed, precision and environment.</w:t>
      </w:r>
    </w:p>
    <w:p>
      <w:pPr>
        <w:pStyle w:val="BodyText"/>
      </w:pPr>
      <w:r>
        <w:t xml:space="preserve">The recorded training interpreter is Python 3.13.7, with PyTorch 2.10.0+cu128. GPU information is recorded as</w:t>
      </w:r>
      <w:r>
        <w:t xml:space="preserve"> </w:t>
      </w:r>
      <w:r>
        <w:t xml:space="preserve">“NVIDIA GeForce RTX 5090 Laptop GPU, 610.88, 24463 MiB”</w:t>
      </w:r>
      <w:r>
        <w:t xml:space="preserve">.</w:t>
      </w:r>
    </w:p>
    <w:bookmarkEnd w:id="16"/>
    <w:bookmarkStart w:id="17" w:name="sec:metrics"/>
    <w:p>
      <w:pPr>
        <w:pStyle w:val="Heading2"/>
        <w:keepNext/>
      </w:pPr>
      <w:r>
        <w:rPr>
          <w:rStyle w:val="SectionNumber"/>
        </w:rPr>
        <w:t xml:space="preserve">2.4</w:t>
      </w:r>
      <w:r>
        <w:tab/>
      </w:r>
      <w:r>
        <w:t xml:space="preserve">Test metrics and replicate-level inference</w:t>
      </w:r>
    </w:p>
    <w:p>
      <w:pPr>
        <w:pStyle w:val="FirstParagraph"/>
      </w:pPr>
      <w:r>
        <w:t xml:space="preserve">The primary MAE and RMSE pool all finite targets over test examples, the</w:t>
      </w:r>
      <w:r>
        <w:t xml:space="preserve"> </w:t>
      </w:r>
      <w:r>
        <w:t xml:space="preserve">12 forecast times, nodes, and output components with equal weight:</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M</m:t>
              </m:r>
            </m:den>
          </m:f>
          <m:nary>
            <m:naryPr>
              <m:chr m:val="∑"/>
              <m:limLoc m:val="undOvr"/>
              <m:subHide m:val="off"/>
              <m:supHide m:val="off"/>
            </m:naryPr>
            <m:sub>
              <m:r>
                <m:t>a</m:t>
              </m:r>
              <m:r>
                <m:rPr>
                  <m:sty m:val="p"/>
                </m:rPr>
                <m:t>=</m:t>
              </m:r>
              <m:r>
                <m:t>1</m:t>
              </m:r>
            </m:sub>
            <m:sup>
              <m:r>
                <m:t>M</m:t>
              </m:r>
            </m:sup>
            <m:e>
              <m:r>
                <m:rPr>
                  <m:sty m:val="p"/>
                </m:rPr>
                <m:t>|</m:t>
              </m:r>
            </m:e>
          </m:nary>
          <m:sSub>
            <m:e>
              <m:acc>
                <m:accPr>
                  <m:chr m:val="̂"/>
                </m:accPr>
                <m:e>
                  <m:r>
                    <m:t>y</m:t>
                  </m:r>
                </m:e>
              </m:acc>
            </m:e>
            <m:sub>
              <m:r>
                <m:t>a</m:t>
              </m:r>
            </m:sub>
          </m:sSub>
          <m:r>
            <m:rPr>
              <m:sty m:val="p"/>
            </m:rPr>
            <m:t>−</m:t>
          </m:r>
          <m:sSub>
            <m:e>
              <m:r>
                <m:t>y</m:t>
              </m:r>
            </m:e>
            <m:sub>
              <m:r>
                <m:t>a</m:t>
              </m:r>
            </m:sub>
          </m:sSub>
          <m:r>
            <m:rPr>
              <m:sty m:val="p"/>
            </m:rPr>
            <m:t>|</m:t>
          </m:r>
          <m:r>
            <m:rPr>
              <m:sty m:val="p"/>
            </m:rPr>
            <m:t>,</m:t>
          </m:r>
          <m:r>
            <m:t>  </m:t>
          </m:r>
          <m:r>
            <m:rPr>
              <m:sty m:val="p"/>
            </m:rPr>
            <m:t>R</m:t>
          </m:r>
          <m:r>
            <m:rPr>
              <m:sty m:val="p"/>
            </m:rPr>
            <m:t>M</m:t>
          </m:r>
          <m:r>
            <m:rPr>
              <m:sty m:val="p"/>
            </m:rPr>
            <m:t>S</m:t>
          </m:r>
          <m:r>
            <m:rPr>
              <m:sty m:val="p"/>
            </m:rPr>
            <m:t>E</m:t>
          </m:r>
          <m:r>
            <m:rPr>
              <m:sty m:val="p"/>
            </m:rPr>
            <m:t>=</m:t>
          </m:r>
          <m:rad>
            <m:radPr>
              <m:degHide m:val="on"/>
            </m:radPr>
            <m:deg/>
            <m:e>
              <m:f>
                <m:fPr>
                  <m:type m:val="bar"/>
                </m:fPr>
                <m:num>
                  <m:r>
                    <m:t>1</m:t>
                  </m:r>
                </m:num>
                <m:den>
                  <m:r>
                    <m:t>M</m:t>
                  </m:r>
                </m:den>
              </m:f>
              <m:nary>
                <m:naryPr>
                  <m:chr m:val="∑"/>
                  <m:limLoc m:val="undOvr"/>
                  <m:subHide m:val="off"/>
                  <m:supHide m:val="off"/>
                </m:naryPr>
                <m:sub>
                  <m:r>
                    <m:t>a</m:t>
                  </m:r>
                  <m:r>
                    <m:rPr>
                      <m:sty m:val="p"/>
                    </m:rPr>
                    <m:t>=</m:t>
                  </m:r>
                  <m:r>
                    <m:t>1</m:t>
                  </m:r>
                </m:sub>
                <m:sup>
                  <m:r>
                    <m:t>M</m:t>
                  </m:r>
                </m:sup>
                <m:e>
                  <m:r>
                    <m:rPr>
                      <m:sty m:val="p"/>
                    </m:rPr>
                    <m:t>(</m:t>
                  </m:r>
                </m:e>
              </m:nary>
              <m:sSub>
                <m:e>
                  <m:acc>
                    <m:accPr>
                      <m:chr m:val="̂"/>
                    </m:accPr>
                    <m:e>
                      <m:r>
                        <m:t>y</m:t>
                      </m:r>
                    </m:e>
                  </m:acc>
                </m:e>
                <m:sub>
                  <m:r>
                    <m:t>a</m:t>
                  </m:r>
                </m:sub>
              </m:sSub>
              <m:r>
                <m:rPr>
                  <m:sty m:val="p"/>
                </m:rPr>
                <m:t>−</m:t>
              </m:r>
              <m:sSub>
                <m:e>
                  <m:r>
                    <m:t>y</m:t>
                  </m:r>
                </m:e>
                <m:sub>
                  <m:r>
                    <m:t>a</m:t>
                  </m:r>
                </m:sub>
              </m:sSub>
              <m:sSup>
                <m:e>
                  <m:r>
                    <m:rPr>
                      <m:sty m:val="p"/>
                    </m:rPr>
                    <m:t>)</m:t>
                  </m:r>
                </m:e>
                <m:sup>
                  <m:r>
                    <m:t>2</m:t>
                  </m:r>
                </m:sup>
              </m:sSup>
            </m:e>
          </m:rad>
          <m:r>
            <m:rPr>
              <m:sty m:val="p"/>
            </m:rPr>
            <m:t>.</m:t>
          </m:r>
        </m:oMath>
      </m:oMathPara>
    </w:p>
    <w:p>
      <w:pPr>
        <w:pStyle w:val="FirstParagraph"/>
      </w:pPr>
      <w:r>
        <w:t xml:space="preserve">These are unweighted grid-point metrics, not area-weighted scores. I also</w:t>
      </w:r>
      <w:r>
        <w:t xml:space="preserve"> </w:t>
      </w:r>
      <w:r>
        <w:t xml:space="preserve">report a latitude-weighted sensitivity analysis, replacing the unit weights</w:t>
      </w:r>
      <w:r>
        <w:t xml:space="preserve"> </w:t>
      </w:r>
      <w:r>
        <w:t xml:space="preserve">with</w:t>
      </w:r>
      <w:r>
        <w:t xml:space="preserve"> </w:t>
      </w:r>
      <m:oMath>
        <m:sSub>
          <m:e>
            <m:r>
              <m:t>w</m:t>
            </m:r>
          </m:e>
          <m:sub>
            <m:r>
              <m:t>i</m:t>
            </m:r>
          </m:sub>
        </m:sSub>
        <m:r>
          <m:rPr>
            <m:sty m:val="p"/>
          </m:rPr>
          <m:t>=</m:t>
        </m:r>
        <m:r>
          <m:rPr>
            <m:sty m:val="p"/>
          </m:rPr>
          <m:t>cos</m:t>
        </m:r>
        <m:sSub>
          <m:e>
            <m:r>
              <m:t>ϕ</m:t>
            </m:r>
          </m:e>
          <m:sub>
            <m:r>
              <m:t>i</m:t>
            </m:r>
          </m:sub>
        </m:sSub>
      </m:oMath>
      <w:r>
        <w:t xml:space="preserve"> </w:t>
      </w:r>
      <w:r>
        <w:t xml:space="preserve">(latitude</w:t>
      </w:r>
      <w:r>
        <w:t xml:space="preserve"> </w:t>
      </w:r>
      <m:oMath>
        <m:sSub>
          <m:e>
            <m:r>
              <m:t>ϕ</m:t>
            </m:r>
          </m:e>
          <m:sub>
            <m:r>
              <m:t>i</m:t>
            </m:r>
          </m:sub>
        </m:sSub>
      </m:oMath>
      <w:r>
        <w:t xml:space="preserve"> </w:t>
      </w:r>
      <w:r>
        <w:t xml:space="preserve">in radians) and dividing weighted error sums by the sum of weights</w:t>
      </w:r>
      <w:r>
        <w:t xml:space="preserve"> </w:t>
      </w:r>
      <w:r>
        <w:t xml:space="preserve">over valid entries. This changes the evaluation metric only; it does not</w:t>
      </w:r>
      <w:r>
        <w:t xml:space="preserve"> </w:t>
      </w:r>
      <w:r>
        <w:t xml:space="preserve">change the training objective or checkpoint selection. For cumulative horizon</w:t>
      </w:r>
      <w:r>
        <w:t xml:space="preserve"> </w:t>
      </w:r>
      <m:oMath>
        <m:r>
          <m:t>h</m:t>
        </m:r>
      </m:oMath>
      <w:r>
        <w:t xml:space="preserve">, errors pool steps</w:t>
      </w:r>
      <w:r>
        <w:t xml:space="preserve"> </w:t>
      </w:r>
      <m:oMath>
        <m:r>
          <m:t>1</m:t>
        </m:r>
        <m:r>
          <m:rPr>
            <m:sty m:val="p"/>
          </m:rPr>
          <m:t>,</m:t>
        </m:r>
        <m:r>
          <m:rPr>
            <m:sty m:val="p"/>
          </m:rPr>
          <m:t>…</m:t>
        </m:r>
        <m:r>
          <m:rPr>
            <m:sty m:val="p"/>
          </m:rPr>
          <m:t>,</m:t>
        </m:r>
        <m:r>
          <m:t>h</m:t>
        </m:r>
      </m:oMath>
      <w:r>
        <w:t xml:space="preserve">; exact-step scores use only step</w:t>
      </w:r>
      <w:r>
        <w:t xml:space="preserve"> </w:t>
      </w:r>
      <m:oMath>
        <m:r>
          <m:t>h</m:t>
        </m:r>
      </m:oMath>
      <w:r>
        <w:t xml:space="preserve">. Persistence repeats the</w:t>
      </w:r>
      <w:r>
        <w:t xml:space="preserve"> </w:t>
      </w:r>
      <w:r>
        <w:t xml:space="preserve">last input observation and is scored by the same test implementation.</w:t>
      </w:r>
    </w:p>
    <w:p>
      <w:pPr>
        <w:pStyle w:val="BodyText"/>
      </w:pPr>
      <w:r>
        <w:t xml:space="preserve">Each primary task has five independently trained control and five AGF</w:t>
      </w:r>
      <w:r>
        <w:t xml:space="preserve"> </w:t>
      </w:r>
      <w:r>
        <w:t xml:space="preserve">replicates. Reusing seed labels does not create matched random streams,</w:t>
      </w:r>
      <w:r>
        <w:t xml:space="preserve"> </w:t>
      </w:r>
      <w:r>
        <w:t xml:space="preserve">because AGF changes the parameter initialization sequence. I report means,</w:t>
      </w:r>
      <w:r>
        <w:t xml:space="preserve"> </w:t>
      </w:r>
      <w:r>
        <w:t xml:space="preserve">sample standard deviations, AGF-minus-control differences, two-sided Welch</w:t>
      </w:r>
      <w:r>
        <w:t xml:space="preserve"> </w:t>
      </w:r>
      <w:r>
        <w:t xml:space="preserve">95% confidence intervals, and two-sided Welch tests. Benjamini–Hochberg</w:t>
      </w:r>
      <w:r>
        <w:t xml:space="preserve"> </w:t>
      </w:r>
      <w:r>
        <w:t xml:space="preserve">correction is applied across the eight task/metric tests. The 95% intervals are marginal, not simultaneous or multiplicity-adjusted intervals; the adjusted</w:t>
      </w:r>
      <w:r>
        <w:t xml:space="preserve"> </w:t>
      </w:r>
      <m:oMath>
        <m:r>
          <m:t>q</m:t>
        </m:r>
      </m:oMath>
      <w:r>
        <w:t xml:space="preserve"> </w:t>
      </w:r>
      <w:r>
        <w:t xml:space="preserve">values govern the primary significance statements. A two-sided exact</w:t>
      </w:r>
      <w:r>
        <w:t xml:space="preserve"> </w:t>
      </w:r>
      <w:r>
        <w:t xml:space="preserve">permutation test of the difference in means provides a sensitivity check</w:t>
      </w:r>
      <w:r>
        <w:t xml:space="preserve"> </w:t>
      </w:r>
      <w:r>
        <w:t xml:space="preserve">under the null of exchangeable group labels, over the</w:t>
      </w:r>
      <w:r>
        <w:t xml:space="preserve"> </w:t>
      </w:r>
      <m:oMath>
        <m:d>
          <m:dPr>
            <m:begChr m:val="("/>
            <m:sepChr m:val=""/>
            <m:endChr m:val=")"/>
            <m:grow/>
          </m:dPr>
          <m:e>
            <m:f>
              <m:fPr>
                <m:type m:val="noBar"/>
              </m:fPr>
              <m:num>
                <m:r>
                  <m:t>10</m:t>
                </m:r>
              </m:num>
              <m:den>
                <m:r>
                  <m:t>5</m:t>
                </m:r>
              </m:den>
            </m:f>
          </m:e>
        </m:d>
        <m:r>
          <m:rPr>
            <m:sty m:val="p"/>
          </m:rPr>
          <m:t>=</m:t>
        </m:r>
        <m:r>
          <m:t>252</m:t>
        </m:r>
      </m:oMath>
      <w:r>
        <w:t xml:space="preserve"> </w:t>
      </w:r>
      <w:r>
        <w:t xml:space="preserve">group allocations. This</w:t>
      </w:r>
      <w:r>
        <w:t xml:space="preserve"> </w:t>
      </w:r>
      <w:r>
        <w:t xml:space="preserve">replaces the previous paired sign-test interpretation. With only five seeds</w:t>
      </w:r>
      <w:r>
        <w:t xml:space="preserve"> </w:t>
      </w:r>
      <w:r>
        <w:t xml:space="preserve">per group, these intervals characterize training variability on one fixed</w:t>
      </w:r>
      <w:r>
        <w:t xml:space="preserve"> </w:t>
      </w:r>
      <w:r>
        <w:t xml:space="preserve">split; they do not quantify uncertainty across climates, datasets, or test</w:t>
      </w:r>
      <w:r>
        <w:t xml:space="preserve"> </w:t>
      </w:r>
      <w:r>
        <w:t xml:space="preserve">periods. A non-significant result is not evidence of equivalence. With five replicates per group, distributional assumptions are difficult to assess; the exact permutation check is also conditional on exchangeability and does not remove this small-sample limitation.</w:t>
      </w:r>
    </w:p>
    <w:bookmarkEnd w:id="17"/>
    <w:bookmarkStart w:id="18" w:name="sec:provenance"/>
    <w:p>
      <w:pPr>
        <w:pStyle w:val="Heading2"/>
        <w:keepNext/>
      </w:pPr>
      <w:r>
        <w:rPr>
          <w:rStyle w:val="SectionNumber"/>
        </w:rPr>
        <w:t xml:space="preserve">2.5</w:t>
      </w:r>
      <w:r>
        <w:tab/>
      </w:r>
      <w:r>
        <w:t xml:space="preserve">Provenance and supplementary experiments</w:t>
      </w:r>
    </w:p>
    <w:p>
      <w:pPr>
        <w:pStyle w:val="FirstParagraph"/>
      </w:pPr>
      <w:r>
        <w:t xml:space="preserve">The fixed experiment manifest contains 40 newly trained primary models:</w:t>
      </w:r>
      <w:r>
        <w:t xml:space="preserve"> </w:t>
      </w:r>
      <w:r>
        <w:t xml:space="preserve">control and AGF for four tasks and seeds 2021–2025. Six additional newly</w:t>
      </w:r>
      <w:r>
        <w:t xml:space="preserve"> </w:t>
      </w:r>
      <w:r>
        <w:t xml:space="preserve">trained mean-fusion models cover temperature and humidity with seeds</w:t>
      </w:r>
      <w:r>
        <w:t xml:space="preserve"> </w:t>
      </w:r>
      <w:r>
        <w:t xml:space="preserve">2023–2025. Every model completes the same 100-epoch FP32 protocol.</w:t>
      </w:r>
      <w:r>
        <w:t xml:space="preserve"> </w:t>
      </w:r>
      <w:r>
        <w:t xml:space="preserve">The corresponding control and gated-AGF ablation rows reuse exactly those</w:t>
      </w:r>
      <w:r>
        <w:t xml:space="preserve"> </w:t>
      </w:r>
      <w:r>
        <w:t xml:space="preserve">three seeds from the primary experiment; they are not separately selected</w:t>
      </w:r>
      <w:r>
        <w:t xml:space="preserve"> </w:t>
      </w:r>
      <w:r>
        <w:t xml:space="preserve">favourable runs. Without AGF, the entire input augmentation is removed.</w:t>
      </w:r>
      <w:r>
        <w:t xml:space="preserve"> </w:t>
      </w:r>
      <w:r>
        <w:t xml:space="preserve">Without a learned gate, the fusion is</w:t>
      </w:r>
      <w:r>
        <w:t xml:space="preserve"> </w:t>
      </w:r>
      <m:oMath>
        <m:r>
          <m:rPr>
            <m:sty m:val="b"/>
          </m:rPr>
          <m:t>z</m:t>
        </m:r>
        <m:r>
          <m:rPr>
            <m:sty m:val="p"/>
          </m:rPr>
          <m:t>=</m:t>
        </m:r>
        <m:r>
          <m:rPr>
            <m:sty m:val="p"/>
          </m:rPr>
          <m:t>(</m:t>
        </m:r>
        <m:r>
          <m:rPr>
            <m:sty m:val="b"/>
          </m:rPr>
          <m:t>q</m:t>
        </m:r>
        <m:r>
          <m:rPr>
            <m:sty m:val="p"/>
          </m:rPr>
          <m:t>+</m:t>
        </m:r>
        <m:r>
          <m:rPr>
            <m:sty m:val="b"/>
          </m:rPr>
          <m:t>r</m:t>
        </m:r>
        <m:r>
          <m:rPr>
            <m:sty m:val="p"/>
          </m:rPr>
          <m:t>)</m:t>
        </m:r>
        <m:r>
          <m:rPr>
            <m:sty m:val="p"/>
          </m:rPr>
          <m:t>/</m:t>
        </m:r>
        <m:r>
          <m:t>2</m:t>
        </m:r>
      </m:oMath>
      <w:r>
        <w:t xml:space="preserve">.</w:t>
      </w:r>
    </w:p>
    <w:p>
      <w:pPr>
        <w:pStyle w:val="BodyText"/>
      </w:pPr>
      <w:r>
        <w:t xml:space="preserve">All accuracy tables, horizon plots, weighted scores and gate diagnostics</w:t>
      </w:r>
      <w:r>
        <w:t xml:space="preserve"> </w:t>
      </w:r>
      <w:r>
        <w:t xml:space="preserve">are regenerated from this common set of new checkpoints. Missing-input</w:t>
      </w:r>
      <w:r>
        <w:t xml:space="preserve"> </w:t>
      </w:r>
      <w:r>
        <w:t xml:space="preserve">diagnostics use a documented shared subset. Historical tuning trials and</w:t>
      </w:r>
      <w:r>
        <w:t xml:space="preserve"> </w:t>
      </w:r>
      <w:r>
        <w:t xml:space="preserve">short screening runs are not used as substitutes for these replicates.</w:t>
      </w:r>
      <w:r>
        <w:t xml:space="preserve"> </w:t>
      </w:r>
      <w:r>
        <w:t xml:space="preserve">Source and checkpoint hashes, seed-level CSV files, validation-selection</w:t>
      </w:r>
      <w:r>
        <w:t xml:space="preserve"> </w:t>
      </w:r>
      <w:r>
        <w:t xml:space="preserve">records and figure metadata are retained with the analysis.</w:t>
      </w:r>
    </w:p>
    <w:p>
      <w:pPr>
        <w:pStyle w:val="BodyText"/>
      </w:pPr>
      <w:r>
        <w:t xml:space="preserve">The external CLCRN reference means are traceable to Table 2 of the published</w:t>
      </w:r>
      <w:r>
        <w:t xml:space="preserve"> </w:t>
      </w:r>
      <w:r>
        <w:t xml:space="preserve">AAAI paper </w:t>
      </w:r>
      <w:r>
        <w:rPr>
          <w:vertAlign w:val="superscript"/>
        </w:rPr>
        <w:t xml:space="preserve">8</w:t>
      </w:r>
      <w:r>
        <w:t xml:space="preserve">. Temperature and wind scores retain</w:t>
      </w:r>
      <w:r>
        <w:t xml:space="preserve"> </w:t>
      </w:r>
      <w:r>
        <w:t xml:space="preserve">their displayed units; humidity errors are multiplied by 10 and cloud-cover</w:t>
      </w:r>
      <w:r>
        <w:t xml:space="preserve"> </w:t>
      </w:r>
      <w:r>
        <w:t xml:space="preserve">errors divided by 10 to match the units used here. These historical values were not</w:t>
      </w:r>
      <w:r>
        <w:t xml:space="preserve"> </w:t>
      </w:r>
      <w:r>
        <w:t xml:space="preserve">recomputed with the present evaluator. WeatherBench’s standard evaluator</w:t>
      </w:r>
      <w:r>
        <w:t xml:space="preserve"> </w:t>
      </w:r>
      <w:r>
        <w:t xml:space="preserve">uses cosine-latitude weights, whereas the released CLCRN evaluator uses</w:t>
      </w:r>
      <w:r>
        <w:t xml:space="preserve"> </w:t>
      </w:r>
      <w:r>
        <w:t xml:space="preserve">unweighted means and masks zero targets. I therefore state both conventions</w:t>
      </w:r>
      <w:r>
        <w:t xml:space="preserve"> </w:t>
      </w:r>
      <w:r>
        <w:t xml:space="preserve">explicitly without assuming that a historical reference shares the corrected</w:t>
      </w:r>
      <w:r>
        <w:t xml:space="preserve"> </w:t>
      </w:r>
      <w:r>
        <w:t xml:space="preserve">zero-inclusive protocol. The source audit and unit-conversion table are</w:t>
      </w:r>
      <w:r>
        <w:t xml:space="preserve"> </w:t>
      </w:r>
      <w:r>
        <w:t xml:space="preserve">retained in the accompanying reproducibility materials under</w:t>
      </w:r>
      <w:r>
        <w:t xml:space="preserve"> </w:t>
      </w:r>
      <w:r>
        <w:rPr>
          <w:rStyle w:val="VerbatimChar"/>
        </w:rPr>
        <w:t xml:space="preserve">historical_context</w:t>
      </w:r>
      <w:r>
        <w:t xml:space="preserve">; the primary table contains only matched scores.</w:t>
      </w:r>
    </w:p>
    <w:bookmarkEnd w:id="18"/>
    <w:bookmarkStart w:id="20" w:name="sec:cost"/>
    <w:p>
      <w:pPr>
        <w:pStyle w:val="Heading2"/>
        <w:keepNext/>
      </w:pPr>
      <w:r>
        <w:rPr>
          <w:rStyle w:val="SectionNumber"/>
        </w:rPr>
        <w:t xml:space="preserve">2.6</w:t>
      </w:r>
      <w:r>
        <w:tab/>
      </w:r>
      <w:r>
        <w:t xml:space="preserve">Computational scope</w:t>
      </w:r>
    </w:p>
    <w:p>
      <w:pPr>
        <w:pStyle w:val="FirstParagraph"/>
      </w:pPr>
      <w:r>
        <w:t xml:space="preserve">The AGF implementation constructs a dense</w:t>
      </w:r>
      <w:r>
        <w:t xml:space="preserve"> </w:t>
      </w:r>
      <m:oMath>
        <m:r>
          <m:t>N</m:t>
        </m:r>
        <m:r>
          <m:rPr>
            <m:sty m:val="p"/>
          </m:rPr>
          <m:t>×</m:t>
        </m:r>
        <m:r>
          <m:t>N</m:t>
        </m:r>
      </m:oMath>
      <w:r>
        <w:t xml:space="preserve"> </w:t>
      </w:r>
      <w:r>
        <w:t xml:space="preserve">similarity matrix before top-</w:t>
      </w:r>
      <m:oMath>
        <m:r>
          <m:t>k</m:t>
        </m:r>
      </m:oMath>
      <w:r>
        <w:t xml:space="preserve"> </w:t>
      </w:r>
      <w:r>
        <w:t xml:space="preserve">selection, so graph construction has quadratic intermediate memory despite sparse aggregation. CLConv also materializes dense kernel operators. The recorded trainable parameter counts are 39,268 for the scalar control and 80,892 for scalar AGF; wind uses 39,437 and 81,061, respectively. The inherited inference microbenchmark is identified separately as a measurement of historical weights. Its timings are not relabelled as measurements of the newly trained checkpoints.</w:t>
      </w:r>
    </w:p>
    <w:bookmarkStart w:id="19" w:name="ai-assisted-preparation."/>
    <w:p>
      <w:pPr>
        <w:pStyle w:val="Heading4"/>
        <w:keepNext/>
      </w:pPr>
      <w:r>
        <w:rPr>
          <w:rStyle w:val="SectionNumber"/>
        </w:rPr>
        <w:t xml:space="preserve">2.6.0.1</w:t>
      </w:r>
      <w:r>
        <w:tab/>
      </w:r>
      <w:r>
        <w:t xml:space="preserve">AI-assisted preparation.</w:t>
      </w:r>
    </w:p>
    <w:p>
      <w:pPr>
        <w:pStyle w:val="FirstParagraph"/>
      </w:pPr>
      <w:r>
        <w:t xml:space="preserve">AI tools assisted language editing, code review, analysis scripting and figure</w:t>
      </w:r>
      <w:r>
        <w:t xml:space="preserve"> </w:t>
      </w:r>
      <w:r>
        <w:t xml:space="preserve">preparation. Their use is described in the Generative AI and AI-Assisted</w:t>
      </w:r>
      <w:r>
        <w:t xml:space="preserve"> </w:t>
      </w:r>
      <w:r>
        <w:t xml:space="preserve">Technologies Disclosure section.</w:t>
      </w:r>
    </w:p>
    <w:bookmarkEnd w:id="19"/>
    <w:bookmarkEnd w:id="20"/>
    <w:bookmarkEnd w:id="21"/>
    <w:bookmarkStart w:id="48" w:name="sec:results"/>
    <w:p>
      <w:pPr>
        <w:pStyle w:val="Heading1"/>
        <w:keepNext/>
      </w:pPr>
      <w:r>
        <w:rPr>
          <w:rStyle w:val="SectionNumber"/>
        </w:rPr>
        <w:t xml:space="preserve">3</w:t>
      </w:r>
      <w:r>
        <w:tab/>
      </w:r>
      <w:r>
        <w:t xml:space="preserve">Results</w:t>
      </w:r>
    </w:p>
    <w:bookmarkStart w:id="27" w:name="sec:primary"/>
    <w:p>
      <w:pPr>
        <w:pStyle w:val="Heading2"/>
        <w:keepNext/>
      </w:pPr>
      <w:r>
        <w:rPr>
          <w:rStyle w:val="SectionNumber"/>
        </w:rPr>
        <w:t xml:space="preserve">3.1</w:t>
      </w:r>
      <w:r>
        <w:tab/>
      </w:r>
      <w:r>
        <w:t xml:space="preserve">Primary five-seed comparison</w:t>
      </w:r>
    </w:p>
    <w:p>
      <w:pPr>
        <w:pStyle w:val="FirstParagraph"/>
      </w:pPr>
      <w:r>
        <w:t xml:space="preserve">The primary results use the same zero-inclusive, spatially unweighted evaluator for all 40 newly trained primary checkpoints. Table 1 and Fig. 2 show the five-seed comparison. Only relative-humidity MAE and RMSE meet the primary threshold after Benjamini–Hochberg correction across eight tests. The remaining comparisons are inconclusive at</w:t>
      </w:r>
      <w:r>
        <w:t xml:space="preserve"> </w:t>
      </w:r>
      <m:oMath>
        <m:r>
          <m:t>q</m:t>
        </m:r>
        <m:r>
          <m:rPr>
            <m:sty m:val="p"/>
          </m:rPr>
          <m:t>&lt;</m:t>
        </m:r>
        <m:r>
          <m:t>0.05</m:t>
        </m:r>
      </m:oMath>
      <w:r>
        <w:t xml:space="preserve">.</w:t>
      </w:r>
    </w:p>
    <w:p>
      <w:pPr>
        <w:pStyle w:val="BodyText"/>
      </w:pPr>
      <w:r>
        <w:t xml:space="preserve">For relative humidity, mean MAE decreases from 4.648 to 4.537 percentage points (2.38%;</w:t>
      </w:r>
      <w:r>
        <w:t xml:space="preserve"> </w:t>
      </w:r>
      <m:oMath>
        <m:r>
          <m:t>q</m:t>
        </m:r>
        <m:r>
          <m:rPr>
            <m:sty m:val="p"/>
          </m:rPr>
          <m:t>=</m:t>
        </m:r>
        <m:r>
          <m:t>0.00604</m:t>
        </m:r>
      </m:oMath>
      <w:r>
        <w:t xml:space="preserve">), and mean RMSE from 7.248 to 7.010 percentage points (3.29%;</w:t>
      </w:r>
      <w:r>
        <w:t xml:space="preserve"> </w:t>
      </w:r>
      <m:oMath>
        <m:r>
          <m:t>q</m:t>
        </m:r>
        <m:r>
          <m:rPr>
            <m:sty m:val="p"/>
          </m:rPr>
          <m:t>=</m:t>
        </m:r>
        <m:r>
          <m:t>0.000653</m:t>
        </m:r>
      </m:oMath>
      <w:r>
        <w:t xml:space="preserve">). Temperature and wind have higher point estimates for both metrics with AGF, while cloud-cover MAE is slightly higher and RMSE slightly lower. The intervals for all six of these differences include zero; the experiment does not establish either improvement or equivalence for these tasks.</w:t>
      </w:r>
    </w:p>
    <w:bookmarkStart w:id="22" w:name="tab:primary"/>
    <w:p>
      <w:pPr>
        <w:pStyle w:val="TableCaption"/>
      </w:pPr>
      <w:r>
        <w:t xml:space="preserve">Table 1. New five-seed comparison. Values are mean and sample standard deviation; differences are AGF minus control. Two-sided Welch tests and 95% intervals describe independent training replicates. BH correction covers all eight rows; the 95% intervals are unadjusted marginal intervals. Units are K for temperature, percentage points for relative humidity, m s</w:t>
      </w:r>
      <m:oMath>
        <m:sSup>
          <m:e>
            <m:r>
              <m:t>​</m:t>
            </m:r>
          </m:e>
          <m:sup>
            <m:r>
              <m:rPr>
                <m:sty m:val="p"/>
              </m:rPr>
              <m:t>−</m:t>
            </m:r>
            <m:r>
              <m:t>1</m:t>
            </m:r>
          </m:sup>
        </m:sSup>
      </m:oMath>
      <w:r>
        <w:t xml:space="preserve"> </w:t>
      </w:r>
      <w:r>
        <w:t xml:space="preserve">for wind, and fraction for cloud cover.</w:t>
      </w:r>
    </w:p>
    <w:tbl>
      <w:tblPr>
        <w:tblStyle w:val="Table"/>
        <w:tblW w:type="auto" w:w="0"/>
        <w:tblLayout w:type="autofit"/>
        <w:tblLook w:firstRow="1" w:lastRow="0" w:firstColumn="0" w:lastColumn="0" w:noHBand="0" w:noVBand="0" w:val="0020"/>
        <w:tblCaption w:val="Table 1. New five-seed comparison. Values are mean and sample standard deviation; differences are AGF minus control. Two-sided Welch tests and 95% intervals describe independent training replicates. BH correction covers all eight rows; the 95% intervals are unadjusted marginal intervals. Units are K for temperature, percentage points for relative humidity, m s^{-1} for wind, and fraction for cloud cover."/>
      </w:tblPr>
      <w:tblGrid>
        <w:gridCol w:w="1131"/>
        <w:gridCol w:w="1131"/>
        <w:gridCol w:w="1131"/>
        <w:gridCol w:w="1131"/>
        <w:gridCol w:w="1131"/>
        <w:gridCol w:w="1131"/>
        <w:gridCol w:w="1131"/>
      </w:tblGrid>
      <w:tr>
        <w:trPr>
          <w:tblHeader w:val="on"/>
          <w:cantSplit/>
        </w:trPr>
        <w:tc>
          <w:tcPr/>
          <w:p>
            <w:pPr>
              <w:pStyle w:val="Compact"/>
              <w:jc w:val="left"/>
            </w:pPr>
            <w:r>
              <w:rPr>
                <w:sz w:val="18"/>
              </w:rPr>
              <w:t xml:space="preserve">Task</w:t>
            </w:r>
          </w:p>
        </w:tc>
        <w:tc>
          <w:tcPr/>
          <w:p>
            <w:pPr>
              <w:pStyle w:val="Compact"/>
              <w:jc w:val="left"/>
            </w:pPr>
            <w:r>
              <w:rPr>
                <w:sz w:val="18"/>
              </w:rPr>
              <w:t xml:space="preserve">Metric</w:t>
            </w:r>
          </w:p>
        </w:tc>
        <w:tc>
          <w:tcPr/>
          <w:p>
            <w:pPr>
              <w:pStyle w:val="Compact"/>
              <w:jc w:val="right"/>
            </w:pPr>
            <w:r>
              <w:rPr>
                <w:sz w:val="18"/>
              </w:rPr>
              <w:t xml:space="preserve">Control (</w:t>
            </w:r>
            <m:oMath>
              <m:r>
                <m:t>μ</m:t>
              </m:r>
              <m:r>
                <m:rPr>
                  <m:sty m:val="p"/>
                </m:rPr>
                <m:t>±</m:t>
              </m:r>
              <m:r>
                <m:t>s</m:t>
              </m:r>
            </m:oMath>
            <w:r>
              <w:rPr>
                <w:sz w:val="18"/>
              </w:rPr>
              <w:t xml:space="preserve">)</w:t>
            </w:r>
          </w:p>
        </w:tc>
        <w:tc>
          <w:tcPr/>
          <w:p>
            <w:pPr>
              <w:pStyle w:val="Compact"/>
              <w:jc w:val="right"/>
            </w:pPr>
            <w:r>
              <w:rPr>
                <w:sz w:val="18"/>
              </w:rPr>
              <w:t xml:space="preserve">AGF (</w:t>
            </w:r>
            <m:oMath>
              <m:r>
                <m:t>μ</m:t>
              </m:r>
              <m:r>
                <m:rPr>
                  <m:sty m:val="p"/>
                </m:rPr>
                <m:t>±</m:t>
              </m:r>
              <m:r>
                <m:t>s</m:t>
              </m:r>
            </m:oMath>
            <w:r>
              <w:rPr>
                <w:sz w:val="18"/>
              </w:rPr>
              <w:t xml:space="preserve">)</w:t>
            </w:r>
          </w:p>
        </w:tc>
        <w:tc>
          <w:tcPr/>
          <w:p>
            <w:pPr>
              <w:pStyle w:val="Compact"/>
              <w:jc w:val="right"/>
            </w:pPr>
            <w:r>
              <w:rPr>
                <w:sz w:val="18"/>
              </w:rPr>
              <w:t xml:space="preserve">Difference [95% CI]</w:t>
            </w:r>
          </w:p>
        </w:tc>
        <w:tc>
          <w:tcPr/>
          <w:p>
            <w:pPr>
              <w:pStyle w:val="Compact"/>
              <w:jc w:val="right"/>
            </w:pPr>
            <m:oMath>
              <m:r>
                <m:t>p</m:t>
              </m:r>
            </m:oMath>
          </w:p>
        </w:tc>
        <w:tc>
          <w:tcPr/>
          <w:p>
            <w:pPr>
              <w:pStyle w:val="Compact"/>
              <w:jc w:val="right"/>
            </w:pPr>
            <w:r>
              <w:rPr>
                <w:sz w:val="18"/>
              </w:rPr>
              <w:t xml:space="preserve">BH</w:t>
            </w:r>
            <w:r>
              <w:rPr>
                <w:sz w:val="18"/>
              </w:rPr>
              <w:t xml:space="preserve"> </w:t>
            </w:r>
            <m:oMath>
              <m:r>
                <m:t>q</m:t>
              </m:r>
            </m:oMath>
          </w:p>
        </w:tc>
      </w:tr>
      <w:tr>
        <w:trPr>
          <w:cantSplit/>
        </w:trPr>
        <w:tc>
          <w:tcPr/>
          <w:p>
            <w:pPr>
              <w:pStyle w:val="Compact"/>
              <w:jc w:val="left"/>
            </w:pPr>
            <w:r>
              <w:rPr>
                <w:sz w:val="18"/>
              </w:rPr>
              <w:t xml:space="preserve">Temperature</w:t>
            </w:r>
          </w:p>
        </w:tc>
        <w:tc>
          <w:tcPr/>
          <w:p>
            <w:pPr>
              <w:pStyle w:val="Compact"/>
              <w:jc w:val="left"/>
            </w:pPr>
            <w:r>
              <w:rPr>
                <w:sz w:val="18"/>
              </w:rPr>
              <w:t xml:space="preserve">MAE</w:t>
            </w:r>
          </w:p>
        </w:tc>
        <w:tc>
          <w:tcPr/>
          <w:p>
            <w:pPr>
              <w:pStyle w:val="Compact"/>
              <w:jc w:val="right"/>
            </w:pPr>
            <m:oMath>
              <m:r>
                <m:t>1.258</m:t>
              </m:r>
              <m:r>
                <m:rPr>
                  <m:sty m:val="p"/>
                </m:rPr>
                <m:t>±</m:t>
              </m:r>
              <m:r>
                <m:t>0.060</m:t>
              </m:r>
            </m:oMath>
          </w:p>
        </w:tc>
        <w:tc>
          <w:tcPr/>
          <w:p>
            <w:pPr>
              <w:pStyle w:val="Compact"/>
              <w:jc w:val="right"/>
            </w:pPr>
            <m:oMath>
              <m:r>
                <m:t>1.291</m:t>
              </m:r>
              <m:r>
                <m:rPr>
                  <m:sty m:val="p"/>
                </m:rPr>
                <m:t>±</m:t>
              </m:r>
              <m:r>
                <m:t>0.107</m:t>
              </m:r>
            </m:oMath>
          </w:p>
        </w:tc>
        <w:tc>
          <w:tcPr/>
          <w:p>
            <w:pPr>
              <w:pStyle w:val="Compact"/>
              <w:jc w:val="right"/>
            </w:pPr>
            <m:oMath>
              <m:r>
                <m:rPr>
                  <m:sty m:val="p"/>
                </m:rPr>
                <m:t>+</m:t>
              </m:r>
              <m:r>
                <m:t>0.033</m:t>
              </m:r>
            </m:oMath>
            <w:r>
              <w:rPr>
                <w:sz w:val="18"/>
              </w:rPr>
              <w:t xml:space="preserve"> </w:t>
            </w:r>
            <w:r>
              <w:rPr>
                <w:sz w:val="18"/>
              </w:rPr>
              <w:t xml:space="preserve">[</w:t>
            </w:r>
            <m:oMath>
              <m:r>
                <m:rPr>
                  <m:sty m:val="p"/>
                </m:rPr>
                <m:t>−</m:t>
              </m:r>
              <m:r>
                <m:t>0.100</m:t>
              </m:r>
              <m:r>
                <m:rPr>
                  <m:sty m:val="p"/>
                </m:rPr>
                <m:t>,</m:t>
              </m:r>
              <m:r>
                <m:rPr>
                  <m:sty m:val="p"/>
                </m:rPr>
                <m:t>+</m:t>
              </m:r>
              <m:r>
                <m:t>0.166</m:t>
              </m:r>
            </m:oMath>
            <w:r>
              <w:rPr>
                <w:sz w:val="18"/>
              </w:rPr>
              <w:t xml:space="preserve">]</w:t>
            </w:r>
          </w:p>
        </w:tc>
        <w:tc>
          <w:tcPr/>
          <w:p>
            <w:pPr>
              <w:pStyle w:val="Compact"/>
              <w:jc w:val="right"/>
            </w:pPr>
            <w:r>
              <w:rPr>
                <w:sz w:val="18"/>
              </w:rPr>
              <w:t xml:space="preserve">0.5701</w:t>
            </w:r>
          </w:p>
        </w:tc>
        <w:tc>
          <w:tcPr/>
          <w:p>
            <w:pPr>
              <w:pStyle w:val="Compact"/>
              <w:jc w:val="right"/>
            </w:pPr>
            <w:r>
              <w:rPr>
                <w:sz w:val="18"/>
              </w:rPr>
              <w:t xml:space="preserve">0.7601</w:t>
            </w:r>
          </w:p>
        </w:tc>
      </w:tr>
      <w:tr>
        <w:trPr>
          <w:cantSplit/>
        </w:trPr>
        <w:tc>
          <w:tcPr/>
          <w:p>
            <w:pPr>
              <w:pStyle w:val="Compact"/>
              <w:jc w:val="left"/>
            </w:pPr>
            <w:r>
              <w:rPr>
                <w:sz w:val="18"/>
              </w:rPr>
              <w:t xml:space="preserve">Temperature</w:t>
            </w:r>
          </w:p>
        </w:tc>
        <w:tc>
          <w:tcPr/>
          <w:p>
            <w:pPr>
              <w:pStyle w:val="Compact"/>
              <w:jc w:val="left"/>
            </w:pPr>
            <w:r>
              <w:rPr>
                <w:sz w:val="18"/>
              </w:rPr>
              <w:t xml:space="preserve">RMSE</w:t>
            </w:r>
          </w:p>
        </w:tc>
        <w:tc>
          <w:tcPr/>
          <w:p>
            <w:pPr>
              <w:pStyle w:val="Compact"/>
              <w:jc w:val="right"/>
            </w:pPr>
            <m:oMath>
              <m:r>
                <m:t>2.101</m:t>
              </m:r>
              <m:r>
                <m:rPr>
                  <m:sty m:val="p"/>
                </m:rPr>
                <m:t>±</m:t>
              </m:r>
              <m:r>
                <m:t>0.045</m:t>
              </m:r>
            </m:oMath>
          </w:p>
        </w:tc>
        <w:tc>
          <w:tcPr/>
          <w:p>
            <w:pPr>
              <w:pStyle w:val="Compact"/>
              <w:jc w:val="right"/>
            </w:pPr>
            <m:oMath>
              <m:r>
                <m:t>2.118</m:t>
              </m:r>
              <m:r>
                <m:rPr>
                  <m:sty m:val="p"/>
                </m:rPr>
                <m:t>±</m:t>
              </m:r>
              <m:r>
                <m:t>0.129</m:t>
              </m:r>
            </m:oMath>
          </w:p>
        </w:tc>
        <w:tc>
          <w:tcPr/>
          <w:p>
            <w:pPr>
              <w:pStyle w:val="Compact"/>
              <w:jc w:val="right"/>
            </w:pPr>
            <m:oMath>
              <m:r>
                <m:rPr>
                  <m:sty m:val="p"/>
                </m:rPr>
                <m:t>+</m:t>
              </m:r>
              <m:r>
                <m:t>0.017</m:t>
              </m:r>
            </m:oMath>
            <w:r>
              <w:rPr>
                <w:sz w:val="18"/>
              </w:rPr>
              <w:t xml:space="preserve"> </w:t>
            </w:r>
            <w:r>
              <w:rPr>
                <w:sz w:val="18"/>
              </w:rPr>
              <w:t xml:space="preserve">[</w:t>
            </w:r>
            <m:oMath>
              <m:r>
                <m:rPr>
                  <m:sty m:val="p"/>
                </m:rPr>
                <m:t>−</m:t>
              </m:r>
              <m:r>
                <m:t>0.141</m:t>
              </m:r>
              <m:r>
                <m:rPr>
                  <m:sty m:val="p"/>
                </m:rPr>
                <m:t>,</m:t>
              </m:r>
              <m:r>
                <m:rPr>
                  <m:sty m:val="p"/>
                </m:rPr>
                <m:t>+</m:t>
              </m:r>
              <m:r>
                <m:t>0.174</m:t>
              </m:r>
            </m:oMath>
            <w:r>
              <w:rPr>
                <w:sz w:val="18"/>
              </w:rPr>
              <w:t xml:space="preserve">]</w:t>
            </w:r>
          </w:p>
        </w:tc>
        <w:tc>
          <w:tcPr/>
          <w:p>
            <w:pPr>
              <w:pStyle w:val="Compact"/>
              <w:jc w:val="right"/>
            </w:pPr>
            <w:r>
              <w:rPr>
                <w:sz w:val="18"/>
              </w:rPr>
              <w:t xml:space="preserve">0.7942</w:t>
            </w:r>
          </w:p>
        </w:tc>
        <w:tc>
          <w:tcPr/>
          <w:p>
            <w:pPr>
              <w:pStyle w:val="Compact"/>
              <w:jc w:val="right"/>
            </w:pPr>
            <w:r>
              <w:rPr>
                <w:sz w:val="18"/>
              </w:rPr>
              <w:t xml:space="preserve">0.7942</w:t>
            </w:r>
          </w:p>
        </w:tc>
      </w:tr>
      <w:tr>
        <w:trPr>
          <w:cantSplit/>
        </w:trPr>
        <w:tc>
          <w:tcPr/>
          <w:p>
            <w:pPr>
              <w:pStyle w:val="Compact"/>
              <w:jc w:val="left"/>
            </w:pPr>
            <w:r>
              <w:rPr>
                <w:sz w:val="18"/>
              </w:rPr>
              <w:t xml:space="preserve">Relative humidity</w:t>
            </w:r>
          </w:p>
        </w:tc>
        <w:tc>
          <w:tcPr/>
          <w:p>
            <w:pPr>
              <w:pStyle w:val="Compact"/>
              <w:jc w:val="left"/>
            </w:pPr>
            <w:r>
              <w:rPr>
                <w:sz w:val="18"/>
              </w:rPr>
              <w:t xml:space="preserve">MAE</w:t>
            </w:r>
          </w:p>
        </w:tc>
        <w:tc>
          <w:tcPr/>
          <w:p>
            <w:pPr>
              <w:pStyle w:val="Compact"/>
              <w:jc w:val="right"/>
            </w:pPr>
            <m:oMath>
              <m:r>
                <m:t>4.648</m:t>
              </m:r>
              <m:r>
                <m:rPr>
                  <m:sty m:val="p"/>
                </m:rPr>
                <m:t>±</m:t>
              </m:r>
              <m:r>
                <m:t>0.017</m:t>
              </m:r>
            </m:oMath>
          </w:p>
        </w:tc>
        <w:tc>
          <w:tcPr/>
          <w:p>
            <w:pPr>
              <w:pStyle w:val="Compact"/>
              <w:jc w:val="right"/>
            </w:pPr>
            <m:oMath>
              <m:r>
                <m:t>4.537</m:t>
              </m:r>
              <m:r>
                <m:rPr>
                  <m:sty m:val="p"/>
                </m:rPr>
                <m:t>±</m:t>
              </m:r>
              <m:r>
                <m:t>0.039</m:t>
              </m:r>
            </m:oMath>
          </w:p>
        </w:tc>
        <w:tc>
          <w:tcPr/>
          <w:p>
            <w:pPr>
              <w:pStyle w:val="Compact"/>
              <w:jc w:val="right"/>
            </w:pPr>
            <m:oMath>
              <m:r>
                <m:rPr>
                  <m:sty m:val="p"/>
                </m:rPr>
                <m:t>−</m:t>
              </m:r>
              <m:r>
                <m:t>0.111</m:t>
              </m:r>
            </m:oMath>
            <w:r>
              <w:rPr>
                <w:sz w:val="18"/>
              </w:rPr>
              <w:t xml:space="preserve"> </w:t>
            </w:r>
            <w:r>
              <w:rPr>
                <w:sz w:val="18"/>
              </w:rPr>
              <w:t xml:space="preserve">[</w:t>
            </w:r>
            <m:oMath>
              <m:r>
                <m:rPr>
                  <m:sty m:val="p"/>
                </m:rPr>
                <m:t>−</m:t>
              </m:r>
              <m:r>
                <m:t>0.158</m:t>
              </m:r>
              <m:r>
                <m:rPr>
                  <m:sty m:val="p"/>
                </m:rPr>
                <m:t>,</m:t>
              </m:r>
              <m:r>
                <m:rPr>
                  <m:sty m:val="p"/>
                </m:rPr>
                <m:t>−</m:t>
              </m:r>
              <m:r>
                <m:t>0.063</m:t>
              </m:r>
            </m:oMath>
            <w:r>
              <w:rPr>
                <w:sz w:val="18"/>
              </w:rPr>
              <w:t xml:space="preserve">]</w:t>
            </w:r>
          </w:p>
        </w:tc>
        <w:tc>
          <w:tcPr/>
          <w:p>
            <w:pPr>
              <w:pStyle w:val="Compact"/>
              <w:jc w:val="right"/>
            </w:pPr>
            <w:r>
              <w:rPr>
                <w:sz w:val="18"/>
              </w:rPr>
              <w:t xml:space="preserve">0.00151</w:t>
            </w:r>
          </w:p>
        </w:tc>
        <w:tc>
          <w:tcPr/>
          <w:p>
            <w:pPr>
              <w:pStyle w:val="Compact"/>
              <w:jc w:val="right"/>
            </w:pPr>
            <w:r>
              <w:rPr>
                <w:sz w:val="18"/>
              </w:rPr>
              <w:t xml:space="preserve">0.00604</w:t>
            </w:r>
          </w:p>
        </w:tc>
      </w:tr>
      <w:tr>
        <w:trPr>
          <w:cantSplit/>
        </w:trPr>
        <w:tc>
          <w:tcPr/>
          <w:p>
            <w:pPr>
              <w:pStyle w:val="Compact"/>
              <w:jc w:val="left"/>
            </w:pPr>
            <w:r>
              <w:rPr>
                <w:sz w:val="18"/>
              </w:rPr>
              <w:t xml:space="preserve">Relative humidity</w:t>
            </w:r>
          </w:p>
        </w:tc>
        <w:tc>
          <w:tcPr/>
          <w:p>
            <w:pPr>
              <w:pStyle w:val="Compact"/>
              <w:jc w:val="left"/>
            </w:pPr>
            <w:r>
              <w:rPr>
                <w:sz w:val="18"/>
              </w:rPr>
              <w:t xml:space="preserve">RMSE</w:t>
            </w:r>
          </w:p>
        </w:tc>
        <w:tc>
          <w:tcPr/>
          <w:p>
            <w:pPr>
              <w:pStyle w:val="Compact"/>
              <w:jc w:val="right"/>
            </w:pPr>
            <m:oMath>
              <m:r>
                <m:t>7.248</m:t>
              </m:r>
              <m:r>
                <m:rPr>
                  <m:sty m:val="p"/>
                </m:rPr>
                <m:t>±</m:t>
              </m:r>
              <m:r>
                <m:t>0.043</m:t>
              </m:r>
            </m:oMath>
          </w:p>
        </w:tc>
        <w:tc>
          <w:tcPr/>
          <w:p>
            <w:pPr>
              <w:pStyle w:val="Compact"/>
              <w:jc w:val="right"/>
            </w:pPr>
            <m:oMath>
              <m:r>
                <m:t>7.010</m:t>
              </m:r>
              <m:r>
                <m:rPr>
                  <m:sty m:val="p"/>
                </m:rPr>
                <m:t>±</m:t>
              </m:r>
              <m:r>
                <m:t>0.055</m:t>
              </m:r>
            </m:oMath>
          </w:p>
        </w:tc>
        <w:tc>
          <w:tcPr/>
          <w:p>
            <w:pPr>
              <w:pStyle w:val="Compact"/>
              <w:jc w:val="right"/>
            </w:pPr>
            <m:oMath>
              <m:r>
                <m:rPr>
                  <m:sty m:val="p"/>
                </m:rPr>
                <m:t>−</m:t>
              </m:r>
              <m:r>
                <m:t>0.239</m:t>
              </m:r>
            </m:oMath>
            <w:r>
              <w:rPr>
                <w:sz w:val="18"/>
              </w:rPr>
              <w:t xml:space="preserve"> </w:t>
            </w:r>
            <w:r>
              <w:rPr>
                <w:sz w:val="18"/>
              </w:rPr>
              <w:t xml:space="preserve">[</w:t>
            </w:r>
            <m:oMath>
              <m:r>
                <m:rPr>
                  <m:sty m:val="p"/>
                </m:rPr>
                <m:t>−</m:t>
              </m:r>
              <m:r>
                <m:t>0.311</m:t>
              </m:r>
              <m:r>
                <m:rPr>
                  <m:sty m:val="p"/>
                </m:rPr>
                <m:t>,</m:t>
              </m:r>
              <m:r>
                <m:rPr>
                  <m:sty m:val="p"/>
                </m:rPr>
                <m:t>−</m:t>
              </m:r>
              <m:r>
                <m:t>0.166</m:t>
              </m:r>
            </m:oMath>
            <w:r>
              <w:rPr>
                <w:sz w:val="18"/>
              </w:rPr>
              <w:t xml:space="preserve">]</w:t>
            </w:r>
          </w:p>
        </w:tc>
        <w:tc>
          <w:tcPr/>
          <w:p>
            <w:pPr>
              <w:pStyle w:val="Compact"/>
              <w:jc w:val="right"/>
            </w:pPr>
            <w:r>
              <w:rPr>
                <w:sz w:val="18"/>
              </w:rPr>
              <w:t xml:space="preserve">8.168e-05</w:t>
            </w:r>
          </w:p>
        </w:tc>
        <w:tc>
          <w:tcPr/>
          <w:p>
            <w:pPr>
              <w:pStyle w:val="Compact"/>
              <w:jc w:val="right"/>
            </w:pPr>
            <w:r>
              <w:rPr>
                <w:sz w:val="18"/>
              </w:rPr>
              <w:t xml:space="preserve">0.0006534</w:t>
            </w:r>
          </w:p>
        </w:tc>
      </w:tr>
      <w:tr>
        <w:trPr>
          <w:cantSplit/>
        </w:trPr>
        <w:tc>
          <w:tcPr/>
          <w:p>
            <w:pPr>
              <w:pStyle w:val="Compact"/>
              <w:jc w:val="left"/>
            </w:pPr>
            <w:r>
              <w:rPr>
                <w:sz w:val="18"/>
              </w:rPr>
              <w:t xml:space="preserve">Surface wind</w:t>
            </w:r>
          </w:p>
        </w:tc>
        <w:tc>
          <w:tcPr/>
          <w:p>
            <w:pPr>
              <w:pStyle w:val="Compact"/>
              <w:jc w:val="left"/>
            </w:pPr>
            <w:r>
              <w:rPr>
                <w:sz w:val="18"/>
              </w:rPr>
              <w:t xml:space="preserve">MAE</w:t>
            </w:r>
          </w:p>
        </w:tc>
        <w:tc>
          <w:tcPr/>
          <w:p>
            <w:pPr>
              <w:pStyle w:val="Compact"/>
              <w:jc w:val="right"/>
            </w:pPr>
            <m:oMath>
              <m:r>
                <m:t>1.242</m:t>
              </m:r>
              <m:r>
                <m:rPr>
                  <m:sty m:val="p"/>
                </m:rPr>
                <m:t>±</m:t>
              </m:r>
              <m:r>
                <m:t>0.011</m:t>
              </m:r>
            </m:oMath>
          </w:p>
        </w:tc>
        <w:tc>
          <w:tcPr/>
          <w:p>
            <w:pPr>
              <w:pStyle w:val="Compact"/>
              <w:jc w:val="right"/>
            </w:pPr>
            <m:oMath>
              <m:r>
                <m:t>1.256</m:t>
              </m:r>
              <m:r>
                <m:rPr>
                  <m:sty m:val="p"/>
                </m:rPr>
                <m:t>±</m:t>
              </m:r>
              <m:r>
                <m:t>0.037</m:t>
              </m:r>
            </m:oMath>
          </w:p>
        </w:tc>
        <w:tc>
          <w:tcPr/>
          <w:p>
            <w:pPr>
              <w:pStyle w:val="Compact"/>
              <w:jc w:val="right"/>
            </w:pPr>
            <m:oMath>
              <m:r>
                <m:rPr>
                  <m:sty m:val="p"/>
                </m:rPr>
                <m:t>+</m:t>
              </m:r>
              <m:r>
                <m:t>0.014</m:t>
              </m:r>
            </m:oMath>
            <w:r>
              <w:rPr>
                <w:sz w:val="18"/>
              </w:rPr>
              <w:t xml:space="preserve"> </w:t>
            </w:r>
            <w:r>
              <w:rPr>
                <w:sz w:val="18"/>
              </w:rPr>
              <w:t xml:space="preserve">[</w:t>
            </w:r>
            <m:oMath>
              <m:r>
                <m:rPr>
                  <m:sty m:val="p"/>
                </m:rPr>
                <m:t>−</m:t>
              </m:r>
              <m:r>
                <m:t>0.032</m:t>
              </m:r>
              <m:r>
                <m:rPr>
                  <m:sty m:val="p"/>
                </m:rPr>
                <m:t>,</m:t>
              </m:r>
              <m:r>
                <m:rPr>
                  <m:sty m:val="p"/>
                </m:rPr>
                <m:t>+</m:t>
              </m:r>
              <m:r>
                <m:t>0.059</m:t>
              </m:r>
            </m:oMath>
            <w:r>
              <w:rPr>
                <w:sz w:val="18"/>
              </w:rPr>
              <w:t xml:space="preserve">]</w:t>
            </w:r>
          </w:p>
        </w:tc>
        <w:tc>
          <w:tcPr/>
          <w:p>
            <w:pPr>
              <w:pStyle w:val="Compact"/>
              <w:jc w:val="right"/>
            </w:pPr>
            <w:r>
              <w:rPr>
                <w:sz w:val="18"/>
              </w:rPr>
              <w:t xml:space="preserve">0.4699</w:t>
            </w:r>
          </w:p>
        </w:tc>
        <w:tc>
          <w:tcPr/>
          <w:p>
            <w:pPr>
              <w:pStyle w:val="Compact"/>
              <w:jc w:val="right"/>
            </w:pPr>
            <w:r>
              <w:rPr>
                <w:sz w:val="18"/>
              </w:rPr>
              <w:t xml:space="preserve">0.7601</w:t>
            </w:r>
          </w:p>
        </w:tc>
      </w:tr>
      <w:tr>
        <w:trPr>
          <w:cantSplit/>
        </w:trPr>
        <w:tc>
          <w:tcPr/>
          <w:p>
            <w:pPr>
              <w:pStyle w:val="Compact"/>
              <w:jc w:val="left"/>
            </w:pPr>
            <w:r>
              <w:rPr>
                <w:sz w:val="18"/>
              </w:rPr>
              <w:t xml:space="preserve">Surface wind</w:t>
            </w:r>
          </w:p>
        </w:tc>
        <w:tc>
          <w:tcPr/>
          <w:p>
            <w:pPr>
              <w:pStyle w:val="Compact"/>
              <w:jc w:val="left"/>
            </w:pPr>
            <w:r>
              <w:rPr>
                <w:sz w:val="18"/>
              </w:rPr>
              <w:t xml:space="preserve">RMSE</w:t>
            </w:r>
          </w:p>
        </w:tc>
        <w:tc>
          <w:tcPr/>
          <w:p>
            <w:pPr>
              <w:pStyle w:val="Compact"/>
              <w:jc w:val="right"/>
            </w:pPr>
            <m:oMath>
              <m:r>
                <m:t>1.972</m:t>
              </m:r>
              <m:r>
                <m:rPr>
                  <m:sty m:val="p"/>
                </m:rPr>
                <m:t>±</m:t>
              </m:r>
              <m:r>
                <m:t>0.023</m:t>
              </m:r>
            </m:oMath>
          </w:p>
        </w:tc>
        <w:tc>
          <w:tcPr/>
          <w:p>
            <w:pPr>
              <w:pStyle w:val="Compact"/>
              <w:jc w:val="right"/>
            </w:pPr>
            <m:oMath>
              <m:r>
                <m:t>2.016</m:t>
              </m:r>
              <m:r>
                <m:rPr>
                  <m:sty m:val="p"/>
                </m:rPr>
                <m:t>±</m:t>
              </m:r>
              <m:r>
                <m:t>0.093</m:t>
              </m:r>
            </m:oMath>
          </w:p>
        </w:tc>
        <w:tc>
          <w:tcPr/>
          <w:p>
            <w:pPr>
              <w:pStyle w:val="Compact"/>
              <w:jc w:val="right"/>
            </w:pPr>
            <m:oMath>
              <m:r>
                <m:rPr>
                  <m:sty m:val="p"/>
                </m:rPr>
                <m:t>+</m:t>
              </m:r>
              <m:r>
                <m:t>0.043</m:t>
              </m:r>
            </m:oMath>
            <w:r>
              <w:rPr>
                <w:sz w:val="18"/>
              </w:rPr>
              <w:t xml:space="preserve"> </w:t>
            </w:r>
            <w:r>
              <w:rPr>
                <w:sz w:val="18"/>
              </w:rPr>
              <w:t xml:space="preserve">[</w:t>
            </w:r>
            <m:oMath>
              <m:r>
                <m:rPr>
                  <m:sty m:val="p"/>
                </m:rPr>
                <m:t>−</m:t>
              </m:r>
              <m:r>
                <m:t>0.071</m:t>
              </m:r>
              <m:r>
                <m:rPr>
                  <m:sty m:val="p"/>
                </m:rPr>
                <m:t>,</m:t>
              </m:r>
              <m:r>
                <m:rPr>
                  <m:sty m:val="p"/>
                </m:rPr>
                <m:t>+</m:t>
              </m:r>
              <m:r>
                <m:t>0.158</m:t>
              </m:r>
            </m:oMath>
            <w:r>
              <w:rPr>
                <w:sz w:val="18"/>
              </w:rPr>
              <w:t xml:space="preserve">]</w:t>
            </w:r>
          </w:p>
        </w:tc>
        <w:tc>
          <w:tcPr/>
          <w:p>
            <w:pPr>
              <w:pStyle w:val="Compact"/>
              <w:jc w:val="right"/>
            </w:pPr>
            <w:r>
              <w:rPr>
                <w:sz w:val="18"/>
              </w:rPr>
              <w:t xml:space="preserve">0.3657</w:t>
            </w:r>
          </w:p>
        </w:tc>
        <w:tc>
          <w:tcPr/>
          <w:p>
            <w:pPr>
              <w:pStyle w:val="Compact"/>
              <w:jc w:val="right"/>
            </w:pPr>
            <w:r>
              <w:rPr>
                <w:sz w:val="18"/>
              </w:rPr>
              <w:t xml:space="preserve">0.7601</w:t>
            </w:r>
          </w:p>
        </w:tc>
      </w:tr>
      <w:tr>
        <w:trPr>
          <w:cantSplit/>
        </w:trPr>
        <w:tc>
          <w:tcPr/>
          <w:p>
            <w:pPr>
              <w:pStyle w:val="Compact"/>
              <w:jc w:val="left"/>
            </w:pPr>
            <w:r>
              <w:rPr>
                <w:sz w:val="18"/>
              </w:rPr>
              <w:t xml:space="preserve">Cloud cover</w:t>
            </w:r>
          </w:p>
        </w:tc>
        <w:tc>
          <w:tcPr/>
          <w:p>
            <w:pPr>
              <w:pStyle w:val="Compact"/>
              <w:jc w:val="left"/>
            </w:pPr>
            <w:r>
              <w:rPr>
                <w:sz w:val="18"/>
              </w:rPr>
              <w:t xml:space="preserve">MAE</w:t>
            </w:r>
          </w:p>
        </w:tc>
        <w:tc>
          <w:tcPr/>
          <w:p>
            <w:pPr>
              <w:pStyle w:val="Compact"/>
              <w:jc w:val="right"/>
            </w:pPr>
            <m:oMath>
              <m:r>
                <m:t>0.1479</m:t>
              </m:r>
              <m:r>
                <m:rPr>
                  <m:sty m:val="p"/>
                </m:rPr>
                <m:t>±</m:t>
              </m:r>
              <m:r>
                <m:t>0.0017</m:t>
              </m:r>
            </m:oMath>
          </w:p>
        </w:tc>
        <w:tc>
          <w:tcPr/>
          <w:p>
            <w:pPr>
              <w:pStyle w:val="Compact"/>
              <w:jc w:val="right"/>
            </w:pPr>
            <m:oMath>
              <m:r>
                <m:t>0.1484</m:t>
              </m:r>
              <m:r>
                <m:rPr>
                  <m:sty m:val="p"/>
                </m:rPr>
                <m:t>±</m:t>
              </m:r>
              <m:r>
                <m:t>0.0020</m:t>
              </m:r>
            </m:oMath>
          </w:p>
        </w:tc>
        <w:tc>
          <w:tcPr/>
          <w:p>
            <w:pPr>
              <w:pStyle w:val="Compact"/>
              <w:jc w:val="right"/>
            </w:pPr>
            <m:oMath>
              <m:r>
                <m:rPr>
                  <m:sty m:val="p"/>
                </m:rPr>
                <m:t>+</m:t>
              </m:r>
              <m:r>
                <m:t>0.0005</m:t>
              </m:r>
            </m:oMath>
            <w:r>
              <w:rPr>
                <w:sz w:val="18"/>
              </w:rPr>
              <w:t xml:space="preserve"> </w:t>
            </w:r>
            <w:r>
              <w:rPr>
                <w:sz w:val="18"/>
              </w:rPr>
              <w:t xml:space="preserve">[</w:t>
            </w:r>
            <m:oMath>
              <m:r>
                <m:rPr>
                  <m:sty m:val="p"/>
                </m:rPr>
                <m:t>−</m:t>
              </m:r>
              <m:r>
                <m:t>0.0022</m:t>
              </m:r>
              <m:r>
                <m:rPr>
                  <m:sty m:val="p"/>
                </m:rPr>
                <m:t>,</m:t>
              </m:r>
              <m:r>
                <m:rPr>
                  <m:sty m:val="p"/>
                </m:rPr>
                <m:t>+</m:t>
              </m:r>
              <m:r>
                <m:t>0.0031</m:t>
              </m:r>
            </m:oMath>
            <w:r>
              <w:rPr>
                <w:sz w:val="18"/>
              </w:rPr>
              <w:t xml:space="preserve">]</w:t>
            </w:r>
          </w:p>
        </w:tc>
        <w:tc>
          <w:tcPr/>
          <w:p>
            <w:pPr>
              <w:pStyle w:val="Compact"/>
              <w:jc w:val="right"/>
            </w:pPr>
            <w:r>
              <w:rPr>
                <w:sz w:val="18"/>
              </w:rPr>
              <w:t xml:space="preserve">0.7077</w:t>
            </w:r>
          </w:p>
        </w:tc>
        <w:tc>
          <w:tcPr/>
          <w:p>
            <w:pPr>
              <w:pStyle w:val="Compact"/>
              <w:jc w:val="right"/>
            </w:pPr>
            <w:r>
              <w:rPr>
                <w:sz w:val="18"/>
              </w:rPr>
              <w:t xml:space="preserve">0.7942</w:t>
            </w:r>
          </w:p>
        </w:tc>
      </w:tr>
      <w:tr>
        <w:trPr>
          <w:cantSplit/>
        </w:trPr>
        <w:tc>
          <w:tcPr/>
          <w:p>
            <w:pPr>
              <w:pStyle w:val="Compact"/>
              <w:jc w:val="left"/>
            </w:pPr>
            <w:r>
              <w:rPr>
                <w:sz w:val="18"/>
              </w:rPr>
              <w:t xml:space="preserve">Cloud cover</w:t>
            </w:r>
          </w:p>
        </w:tc>
        <w:tc>
          <w:tcPr/>
          <w:p>
            <w:pPr>
              <w:pStyle w:val="Compact"/>
              <w:jc w:val="left"/>
            </w:pPr>
            <w:r>
              <w:rPr>
                <w:sz w:val="18"/>
              </w:rPr>
              <w:t xml:space="preserve">RMSE</w:t>
            </w:r>
          </w:p>
        </w:tc>
        <w:tc>
          <w:tcPr/>
          <w:p>
            <w:pPr>
              <w:pStyle w:val="Compact"/>
              <w:jc w:val="right"/>
            </w:pPr>
            <m:oMath>
              <m:r>
                <m:t>0.2500</m:t>
              </m:r>
              <m:r>
                <m:rPr>
                  <m:sty m:val="p"/>
                </m:rPr>
                <m:t>±</m:t>
              </m:r>
              <m:r>
                <m:t>0.0017</m:t>
              </m:r>
            </m:oMath>
          </w:p>
        </w:tc>
        <w:tc>
          <w:tcPr/>
          <w:p>
            <w:pPr>
              <w:pStyle w:val="Compact"/>
              <w:jc w:val="right"/>
            </w:pPr>
            <m:oMath>
              <m:r>
                <m:t>0.2490</m:t>
              </m:r>
              <m:r>
                <m:rPr>
                  <m:sty m:val="p"/>
                </m:rPr>
                <m:t>±</m:t>
              </m:r>
              <m:r>
                <m:t>0.0028</m:t>
              </m:r>
            </m:oMath>
          </w:p>
        </w:tc>
        <w:tc>
          <w:tcPr/>
          <w:p>
            <w:pPr>
              <w:pStyle w:val="Compact"/>
              <w:jc w:val="right"/>
            </w:pPr>
            <m:oMath>
              <m:r>
                <m:rPr>
                  <m:sty m:val="p"/>
                </m:rPr>
                <m:t>−</m:t>
              </m:r>
              <m:r>
                <m:t>0.0010</m:t>
              </m:r>
            </m:oMath>
            <w:r>
              <w:rPr>
                <w:sz w:val="18"/>
              </w:rPr>
              <w:t xml:space="preserve"> </w:t>
            </w:r>
            <w:r>
              <w:rPr>
                <w:sz w:val="18"/>
              </w:rPr>
              <w:t xml:space="preserve">[</w:t>
            </w:r>
            <m:oMath>
              <m:r>
                <m:rPr>
                  <m:sty m:val="p"/>
                </m:rPr>
                <m:t>−</m:t>
              </m:r>
              <m:r>
                <m:t>0.0045</m:t>
              </m:r>
              <m:r>
                <m:rPr>
                  <m:sty m:val="p"/>
                </m:rPr>
                <m:t>,</m:t>
              </m:r>
              <m:r>
                <m:rPr>
                  <m:sty m:val="p"/>
                </m:rPr>
                <m:t>+</m:t>
              </m:r>
              <m:r>
                <m:t>0.0025</m:t>
              </m:r>
            </m:oMath>
            <w:r>
              <w:rPr>
                <w:sz w:val="18"/>
              </w:rPr>
              <w:t xml:space="preserve">]</w:t>
            </w:r>
          </w:p>
        </w:tc>
        <w:tc>
          <w:tcPr/>
          <w:p>
            <w:pPr>
              <w:pStyle w:val="Compact"/>
              <w:jc w:val="right"/>
            </w:pPr>
            <w:r>
              <w:rPr>
                <w:sz w:val="18"/>
              </w:rPr>
              <w:t xml:space="preserve">0.5103</w:t>
            </w:r>
          </w:p>
        </w:tc>
        <w:tc>
          <w:tcPr/>
          <w:p>
            <w:pPr>
              <w:pStyle w:val="Compact"/>
              <w:jc w:val="right"/>
            </w:pPr>
            <w:r>
              <w:rPr>
                <w:sz w:val="18"/>
              </w:rPr>
              <w:t xml:space="preserve">0.7601</w:t>
            </w:r>
          </w:p>
        </w:tc>
      </w:tr>
    </w:tbl>
    <w:bookmarkEnd w:id="22"/>
    <w:bookmarkStart w:id="26" w:name="fig:primary"/>
    <w:p>
      <w:pPr>
        <w:pStyle w:val="CaptionedFigure"/>
      </w:pPr>
      <w:r>
        <w:drawing>
          <wp:inline>
            <wp:extent cx="4800600" cy="2426896"/>
            <wp:effectExtent b="0" l="0" r="0" t="0"/>
            <wp:docPr descr="" title="" id="24" name="Picture"/>
            <a:graphic>
              <a:graphicData uri="http://schemas.openxmlformats.org/drawingml/2006/picture">
                <pic:pic>
                  <pic:nvPicPr>
                    <pic:cNvPr descr="figs_revised/fig4_primary_replicates.png" id="25" name="Picture"/>
                    <pic:cNvPicPr>
                      <a:picLocks noChangeArrowheads="1" noChangeAspect="1"/>
                    </pic:cNvPicPr>
                  </pic:nvPicPr>
                  <pic:blipFill>
                    <a:blip r:embed="rId23"/>
                    <a:stretch>
                      <a:fillRect/>
                    </a:stretch>
                  </pic:blipFill>
                  <pic:spPr bwMode="auto">
                    <a:xfrm>
                      <a:off x="0" y="0"/>
                      <a:ext cx="4800600" cy="2426896"/>
                    </a:xfrm>
                    <a:prstGeom prst="rect">
                      <a:avLst/>
                    </a:prstGeom>
                    <a:noFill/>
                    <a:ln w="9525">
                      <a:noFill/>
                      <a:headEnd/>
                      <a:tailEnd/>
                    </a:ln>
                  </pic:spPr>
                </pic:pic>
              </a:graphicData>
            </a:graphic>
          </wp:inline>
        </w:drawing>
      </w:r>
    </w:p>
    <w:p>
      <w:pPr>
        <w:pStyle w:val="ImageCaption"/>
      </w:pPr>
      <w:r>
        <w:t xml:space="preserve">Figure 2. Cumulative 12-hour MAE (top) and RMSE (bottom) from the same 40 checkpoints used in Table 1. Coloured points are five independently trained replicates per variant; black diamonds/error bars denote mean plus or minus sample standard deviation. No pairing of seed labels is assumed.</w:t>
      </w:r>
    </w:p>
    <w:bookmarkEnd w:id="26"/>
    <w:bookmarkEnd w:id="27"/>
    <w:bookmarkStart w:id="28" w:name="sec:statistics"/>
    <w:p>
      <w:pPr>
        <w:pStyle w:val="Heading2"/>
        <w:keepNext/>
      </w:pPr>
      <w:r>
        <w:rPr>
          <w:rStyle w:val="SectionNumber"/>
        </w:rPr>
        <w:t xml:space="preserve">3.2</w:t>
      </w:r>
      <w:r>
        <w:tab/>
      </w:r>
      <w:r>
        <w:t xml:space="preserve">Statistical and spatial-weighting sensitivity</w:t>
      </w:r>
    </w:p>
    <w:p>
      <w:pPr>
        <w:pStyle w:val="FirstParagraph"/>
      </w:pPr>
      <w:r>
        <w:t xml:space="preserve">The exact permutation analysis supports the same two relative-humidity comparisons after separate BH correction across its eight tests (</w:t>
      </w:r>
      <m:oMath>
        <m:r>
          <m:t>q</m:t>
        </m:r>
        <m:r>
          <m:rPr>
            <m:sty m:val="p"/>
          </m:rPr>
          <m:t>=</m:t>
        </m:r>
        <m:r>
          <m:t>0.03175</m:t>
        </m:r>
      </m:oMath>
      <w:r>
        <w:t xml:space="preserve"> </w:t>
      </w:r>
      <w:r>
        <w:t xml:space="preserve">for both MAE and RMSE). The other six adjusted values range from 0.771 to 0.778. Welch tests remain the primary analysis; the permutation results are a sensitivity check with the exchangeability qualification in Methods. Supplementary Fig. S2 displays the primary mean differences and marginal Welch intervals on a relative scale.</w:t>
      </w:r>
    </w:p>
    <w:p>
      <w:pPr>
        <w:pStyle w:val="BodyText"/>
      </w:pPr>
      <w:r>
        <w:t xml:space="preserve">Latitude weighting changes only the evaluation metric. The Supplementary Information section</w:t>
      </w:r>
      <w:r>
        <w:t xml:space="preserve"> </w:t>
      </w:r>
      <w:r>
        <w:t xml:space="preserve">“Latitude-weighted sensitivity”</w:t>
      </w:r>
      <w:r>
        <w:t xml:space="preserve"> </w:t>
      </w:r>
      <w:r>
        <w:t xml:space="preserve">reports cosine-latitude-weighted scores from the same new checkpoints. Relative humidity again has lower mean MAE and RMSE (2.73% and 3.86%, respectively); its adjusted values are 0.01076 and 0.000871. These eight Welch tests form a separate sensitivity family, not additional primary discoveries.</w:t>
      </w:r>
    </w:p>
    <w:bookmarkEnd w:id="28"/>
    <w:bookmarkStart w:id="33" w:name="sec:context"/>
    <w:p>
      <w:pPr>
        <w:pStyle w:val="Heading2"/>
        <w:keepNext/>
      </w:pPr>
      <w:r>
        <w:rPr>
          <w:rStyle w:val="SectionNumber"/>
        </w:rPr>
        <w:t xml:space="preserve">3.3</w:t>
      </w:r>
      <w:r>
        <w:tab/>
      </w:r>
      <w:r>
        <w:t xml:space="preserve">Common-split context and forecast horizon</w:t>
      </w:r>
    </w:p>
    <w:p>
      <w:pPr>
        <w:pStyle w:val="FirstParagraph"/>
      </w:pPr>
      <w:r>
        <w:t xml:space="preserve">Persistence repeats the final input observation. The Supplementary Information section</w:t>
      </w:r>
      <w:r>
        <w:t xml:space="preserve"> </w:t>
      </w:r>
      <w:r>
        <w:t xml:space="preserve">“Persistence on the same split”</w:t>
      </w:r>
      <w:r>
        <w:t xml:space="preserve"> </w:t>
      </w:r>
      <w:r>
        <w:t xml:space="preserve">and Supplementary Fig. S3 compare persistence with the new model means in each target’s physical units. Published CLCRN scores remain source context rather than matched baselines. The exact-step and cumulative horizon curves (Fig. 3) use the same seeds; the cumulative 12-hour endpoints equal Table 1.</w:t>
      </w:r>
    </w:p>
    <w:bookmarkStart w:id="32" w:name="fig:horizon"/>
    <w:p>
      <w:pPr>
        <w:pStyle w:val="CaptionedFigure"/>
      </w:pPr>
      <w:r>
        <w:drawing>
          <wp:inline>
            <wp:extent cx="4800600" cy="3138069"/>
            <wp:effectExtent b="0" l="0" r="0" t="0"/>
            <wp:docPr descr="" title="" id="30" name="Picture"/>
            <a:graphic>
              <a:graphicData uri="http://schemas.openxmlformats.org/drawingml/2006/picture">
                <pic:pic>
                  <pic:nvPicPr>
                    <pic:cNvPr descr="figs_revised/fig5_horizon_consistent.png" id="31" name="Picture"/>
                    <pic:cNvPicPr>
                      <a:picLocks noChangeArrowheads="1" noChangeAspect="1"/>
                    </pic:cNvPicPr>
                  </pic:nvPicPr>
                  <pic:blipFill>
                    <a:blip r:embed="rId29"/>
                    <a:stretch>
                      <a:fillRect/>
                    </a:stretch>
                  </pic:blipFill>
                  <pic:spPr bwMode="auto">
                    <a:xfrm>
                      <a:off x="0" y="0"/>
                      <a:ext cx="4800600" cy="3138069"/>
                    </a:xfrm>
                    <a:prstGeom prst="rect">
                      <a:avLst/>
                    </a:prstGeom>
                    <a:noFill/>
                    <a:ln w="9525">
                      <a:noFill/>
                      <a:headEnd/>
                      <a:tailEnd/>
                    </a:ln>
                  </pic:spPr>
                </pic:pic>
              </a:graphicData>
            </a:graphic>
          </wp:inline>
        </w:drawing>
      </w:r>
    </w:p>
    <w:p>
      <w:pPr>
        <w:pStyle w:val="ImageCaption"/>
      </w:pPr>
      <w:r>
        <w:t xml:space="preserve">Figure 3. Exact-lead MAE (solid) and cumulative MAE from lead 1 to each plotted hour (dashed), averaged over the same five seeds per variant as Table 1. Shading denotes plus or minus sample SD across seeds for exact-lead MAE. Cumulative endpoints at 12 hours equal the corresponding Table 1 MAEs; panels use task-specific units.</w:t>
      </w:r>
    </w:p>
    <w:bookmarkEnd w:id="32"/>
    <w:bookmarkEnd w:id="33"/>
    <w:bookmarkStart w:id="35" w:name="sec:ablation"/>
    <w:p>
      <w:pPr>
        <w:pStyle w:val="Heading2"/>
        <w:keepNext/>
      </w:pPr>
      <w:r>
        <w:rPr>
          <w:rStyle w:val="SectionNumber"/>
        </w:rPr>
        <w:t xml:space="preserve">3.4</w:t>
      </w:r>
      <w:r>
        <w:tab/>
      </w:r>
      <w:r>
        <w:t xml:space="preserve">Precision-matched component comparison</w:t>
      </w:r>
    </w:p>
    <w:p>
      <w:pPr>
        <w:pStyle w:val="FirstParagraph"/>
      </w:pPr>
      <w:r>
        <w:t xml:space="preserve">The temperature and humidity ablations use seeds 2023–2025 for all three variants, each with 100 epochs and FP32. Control and gated AGF are the corresponding primary subset; six mean-fusion runs are newly trained under the same protocol. The means and sample standard deviations describe these three replicates. For humidity, the gated model has lower mean MAE and RMSE than mean fusion. For temperature, the ordering depends on the metric: the control has the lowest MAE, whereas mean fusion has the lowest RMSE (Table 2). These are descriptive comparisons with only three replicates per variant; they neither establish a universal gate benefit nor enter the eight-test primary family. Removing AGF removes the complete augmentation, including its residual projection, and changes parameter count, so this comparison does not isolate the learned adjacency alone.</w:t>
      </w:r>
    </w:p>
    <w:bookmarkStart w:id="34" w:name="tab:ablation"/>
    <w:p>
      <w:pPr>
        <w:pStyle w:val="TableCaption"/>
      </w:pPr>
      <w:r>
        <w:t xml:space="preserve">Table 2. Full-budget component comparison, seeds 2023–2025. Values are means</w:t>
      </w:r>
      <w:r>
        <w:t xml:space="preserve"> </w:t>
      </w:r>
      <m:oMath>
        <m:r>
          <m:rPr>
            <m:sty m:val="p"/>
          </m:rPr>
          <m:t>±</m:t>
        </m:r>
      </m:oMath>
      <w:r>
        <w:t xml:space="preserve"> </w:t>
      </w:r>
      <w:r>
        <w:t xml:space="preserve">sample SD (K for temperature and percentage points for humidity); these three-seed summaries are descriptive. Removing AGF also changes input width and parameter count.</w:t>
      </w:r>
    </w:p>
    <w:tbl>
      <w:tblPr>
        <w:tblStyle w:val="Table"/>
        <w:tblW w:type="auto" w:w="0"/>
        <w:tblLayout w:type="autofit"/>
        <w:tblLook w:firstRow="1" w:lastRow="0" w:firstColumn="0" w:lastColumn="0" w:noHBand="0" w:noVBand="0" w:val="0020"/>
        <w:tblCaption w:val="Table 2. Full-budget component comparison, seeds 2023–2025. Values are means \pm sample SD (K for temperature and percentage points for humidity); these three-seed summaries are descriptive. Removing AGF also changes input width and parameter count."/>
      </w:tblPr>
      <w:tblGrid>
        <w:gridCol w:w="1584"/>
        <w:gridCol w:w="1584"/>
        <w:gridCol w:w="1584"/>
        <w:gridCol w:w="1584"/>
        <w:gridCol w:w="1584"/>
      </w:tblGrid>
      <w:tr>
        <w:trPr>
          <w:tblHeader w:val="on"/>
          <w:cantSplit/>
        </w:trPr>
        <w:tc>
          <w:tcPr/>
          <w:p>
            <w:pPr>
              <w:pStyle w:val="Compact"/>
              <w:jc w:val="left"/>
            </w:pPr>
            <w:r>
              <w:rPr>
                <w:sz w:val="18"/>
              </w:rPr>
              <w:t xml:space="preserve">Task</w:t>
            </w:r>
          </w:p>
        </w:tc>
        <w:tc>
          <w:tcPr/>
          <w:p>
            <w:pPr>
              <w:pStyle w:val="Compact"/>
              <w:jc w:val="left"/>
            </w:pPr>
            <w:r>
              <w:rPr>
                <w:sz w:val="18"/>
              </w:rPr>
              <w:t xml:space="preserve">Variant</w:t>
            </w:r>
          </w:p>
        </w:tc>
        <w:tc>
          <w:tcPr/>
          <w:p>
            <w:pPr>
              <w:pStyle w:val="Compact"/>
              <w:jc w:val="left"/>
            </w:pPr>
            <w:r>
              <w:rPr>
                <w:sz w:val="18"/>
              </w:rPr>
              <w:t xml:space="preserve">Precision</w:t>
            </w:r>
          </w:p>
        </w:tc>
        <w:tc>
          <w:tcPr/>
          <w:p>
            <w:pPr>
              <w:pStyle w:val="Compact"/>
              <w:jc w:val="right"/>
            </w:pPr>
            <w:r>
              <w:rPr>
                <w:sz w:val="18"/>
              </w:rPr>
              <w:t xml:space="preserve">MAE</w:t>
            </w:r>
          </w:p>
        </w:tc>
        <w:tc>
          <w:tcPr/>
          <w:p>
            <w:pPr>
              <w:pStyle w:val="Compact"/>
              <w:jc w:val="right"/>
            </w:pPr>
            <w:r>
              <w:rPr>
                <w:sz w:val="18"/>
              </w:rPr>
              <w:t xml:space="preserve">RMSE</w:t>
            </w:r>
          </w:p>
        </w:tc>
      </w:tr>
      <w:tr>
        <w:trPr>
          <w:cantSplit/>
        </w:trPr>
        <w:tc>
          <w:tcPr/>
          <w:p>
            <w:pPr>
              <w:pStyle w:val="Compact"/>
              <w:jc w:val="left"/>
            </w:pPr>
            <w:r>
              <w:rPr>
                <w:sz w:val="18"/>
              </w:rPr>
              <w:t xml:space="preserve">Temperature</w:t>
            </w:r>
          </w:p>
        </w:tc>
        <w:tc>
          <w:tcPr/>
          <w:p>
            <w:pPr>
              <w:pStyle w:val="Compact"/>
              <w:jc w:val="left"/>
            </w:pPr>
            <w:r>
              <w:rPr>
                <w:sz w:val="18"/>
              </w:rPr>
              <w:t xml:space="preserve">Control (no AGF)</w:t>
            </w:r>
          </w:p>
        </w:tc>
        <w:tc>
          <w:tcPr/>
          <w:p>
            <w:pPr>
              <w:pStyle w:val="Compact"/>
              <w:jc w:val="left"/>
            </w:pPr>
            <w:r>
              <w:rPr>
                <w:sz w:val="18"/>
              </w:rPr>
              <w:t xml:space="preserve">FP32</w:t>
            </w:r>
          </w:p>
        </w:tc>
        <w:tc>
          <w:tcPr/>
          <w:p>
            <w:pPr>
              <w:pStyle w:val="Compact"/>
              <w:jc w:val="right"/>
            </w:pPr>
            <m:oMath>
              <m:r>
                <m:t>1.2325</m:t>
              </m:r>
              <m:r>
                <m:rPr>
                  <m:sty m:val="p"/>
                </m:rPr>
                <m:t>±</m:t>
              </m:r>
              <m:r>
                <m:t>0.0555</m:t>
              </m:r>
            </m:oMath>
          </w:p>
        </w:tc>
        <w:tc>
          <w:tcPr/>
          <w:p>
            <w:pPr>
              <w:pStyle w:val="Compact"/>
              <w:jc w:val="right"/>
            </w:pPr>
            <m:oMath>
              <m:r>
                <m:t>2.1129</m:t>
              </m:r>
              <m:r>
                <m:rPr>
                  <m:sty m:val="p"/>
                </m:rPr>
                <m:t>±</m:t>
              </m:r>
              <m:r>
                <m:t>0.0433</m:t>
              </m:r>
            </m:oMath>
          </w:p>
        </w:tc>
      </w:tr>
      <w:tr>
        <w:trPr>
          <w:cantSplit/>
        </w:trPr>
        <w:tc>
          <w:tcPr/>
          <w:p>
            <w:pPr>
              <w:pStyle w:val="Compact"/>
              <w:jc w:val="left"/>
            </w:pPr>
            <w:r>
              <w:rPr>
                <w:sz w:val="18"/>
              </w:rPr>
              <w:t xml:space="preserve">Temperature</w:t>
            </w:r>
          </w:p>
        </w:tc>
        <w:tc>
          <w:tcPr/>
          <w:p>
            <w:pPr>
              <w:pStyle w:val="Compact"/>
              <w:jc w:val="left"/>
            </w:pPr>
            <w:r>
              <w:rPr>
                <w:sz w:val="18"/>
              </w:rPr>
              <w:t xml:space="preserve">Mean fusion</w:t>
            </w:r>
          </w:p>
        </w:tc>
        <w:tc>
          <w:tcPr/>
          <w:p>
            <w:pPr>
              <w:pStyle w:val="Compact"/>
              <w:jc w:val="left"/>
            </w:pPr>
            <w:r>
              <w:rPr>
                <w:sz w:val="18"/>
              </w:rPr>
              <w:t xml:space="preserve">FP32</w:t>
            </w:r>
          </w:p>
        </w:tc>
        <w:tc>
          <w:tcPr/>
          <w:p>
            <w:pPr>
              <w:pStyle w:val="Compact"/>
              <w:jc w:val="right"/>
            </w:pPr>
            <m:oMath>
              <m:r>
                <m:t>1.2672</m:t>
              </m:r>
              <m:r>
                <m:rPr>
                  <m:sty m:val="p"/>
                </m:rPr>
                <m:t>±</m:t>
              </m:r>
              <m:r>
                <m:t>0.0656</m:t>
              </m:r>
            </m:oMath>
          </w:p>
        </w:tc>
        <w:tc>
          <w:tcPr/>
          <w:p>
            <w:pPr>
              <w:pStyle w:val="Compact"/>
              <w:jc w:val="right"/>
            </w:pPr>
            <m:oMath>
              <m:r>
                <m:t>2.0468</m:t>
              </m:r>
              <m:r>
                <m:rPr>
                  <m:sty m:val="p"/>
                </m:rPr>
                <m:t>±</m:t>
              </m:r>
              <m:r>
                <m:t>0.1027</m:t>
              </m:r>
            </m:oMath>
          </w:p>
        </w:tc>
      </w:tr>
      <w:tr>
        <w:trPr>
          <w:cantSplit/>
        </w:trPr>
        <w:tc>
          <w:tcPr/>
          <w:p>
            <w:pPr>
              <w:pStyle w:val="Compact"/>
              <w:jc w:val="left"/>
            </w:pPr>
            <w:r>
              <w:rPr>
                <w:sz w:val="18"/>
              </w:rPr>
              <w:t xml:space="preserve">Temperature</w:t>
            </w:r>
          </w:p>
        </w:tc>
        <w:tc>
          <w:tcPr/>
          <w:p>
            <w:pPr>
              <w:pStyle w:val="Compact"/>
              <w:jc w:val="left"/>
            </w:pPr>
            <w:r>
              <w:rPr>
                <w:sz w:val="18"/>
              </w:rPr>
              <w:t xml:space="preserve">Full CLCRN-AGF</w:t>
            </w:r>
          </w:p>
        </w:tc>
        <w:tc>
          <w:tcPr/>
          <w:p>
            <w:pPr>
              <w:pStyle w:val="Compact"/>
              <w:jc w:val="left"/>
            </w:pPr>
            <w:r>
              <w:rPr>
                <w:sz w:val="18"/>
              </w:rPr>
              <w:t xml:space="preserve">FP32</w:t>
            </w:r>
          </w:p>
        </w:tc>
        <w:tc>
          <w:tcPr/>
          <w:p>
            <w:pPr>
              <w:pStyle w:val="Compact"/>
              <w:jc w:val="right"/>
            </w:pPr>
            <m:oMath>
              <m:r>
                <m:t>1.2500</m:t>
              </m:r>
              <m:r>
                <m:rPr>
                  <m:sty m:val="p"/>
                </m:rPr>
                <m:t>±</m:t>
              </m:r>
              <m:r>
                <m:t>0.1268</m:t>
              </m:r>
            </m:oMath>
          </w:p>
        </w:tc>
        <w:tc>
          <w:tcPr/>
          <w:p>
            <w:pPr>
              <w:pStyle w:val="Compact"/>
              <w:jc w:val="right"/>
            </w:pPr>
            <m:oMath>
              <m:r>
                <m:t>2.0575</m:t>
              </m:r>
              <m:r>
                <m:rPr>
                  <m:sty m:val="p"/>
                </m:rPr>
                <m:t>±</m:t>
              </m:r>
              <m:r>
                <m:t>0.1382</m:t>
              </m:r>
            </m:oMath>
          </w:p>
        </w:tc>
      </w:tr>
      <w:tr>
        <w:trPr>
          <w:cantSplit/>
        </w:trPr>
        <w:tc>
          <w:tcPr/>
          <w:p>
            <w:pPr>
              <w:pStyle w:val="Compact"/>
              <w:jc w:val="left"/>
            </w:pPr>
            <w:r>
              <w:rPr>
                <w:sz w:val="18"/>
              </w:rPr>
              <w:t xml:space="preserve">Relative humidity</w:t>
            </w:r>
          </w:p>
        </w:tc>
        <w:tc>
          <w:tcPr/>
          <w:p>
            <w:pPr>
              <w:pStyle w:val="Compact"/>
              <w:jc w:val="left"/>
            </w:pPr>
            <w:r>
              <w:rPr>
                <w:sz w:val="18"/>
              </w:rPr>
              <w:t xml:space="preserve">Control (no AGF)</w:t>
            </w:r>
          </w:p>
        </w:tc>
        <w:tc>
          <w:tcPr/>
          <w:p>
            <w:pPr>
              <w:pStyle w:val="Compact"/>
              <w:jc w:val="left"/>
            </w:pPr>
            <w:r>
              <w:rPr>
                <w:sz w:val="18"/>
              </w:rPr>
              <w:t xml:space="preserve">FP32</w:t>
            </w:r>
          </w:p>
        </w:tc>
        <w:tc>
          <w:tcPr/>
          <w:p>
            <w:pPr>
              <w:pStyle w:val="Compact"/>
              <w:jc w:val="right"/>
            </w:pPr>
            <m:oMath>
              <m:r>
                <m:t>4.6361</m:t>
              </m:r>
              <m:r>
                <m:rPr>
                  <m:sty m:val="p"/>
                </m:rPr>
                <m:t>±</m:t>
              </m:r>
              <m:r>
                <m:t>0.0086</m:t>
              </m:r>
            </m:oMath>
          </w:p>
        </w:tc>
        <w:tc>
          <w:tcPr/>
          <w:p>
            <w:pPr>
              <w:pStyle w:val="Compact"/>
              <w:jc w:val="right"/>
            </w:pPr>
            <m:oMath>
              <m:r>
                <m:t>7.2266</m:t>
              </m:r>
              <m:r>
                <m:rPr>
                  <m:sty m:val="p"/>
                </m:rPr>
                <m:t>±</m:t>
              </m:r>
              <m:r>
                <m:t>0.0430</m:t>
              </m:r>
            </m:oMath>
          </w:p>
        </w:tc>
      </w:tr>
      <w:tr>
        <w:trPr>
          <w:cantSplit/>
        </w:trPr>
        <w:tc>
          <w:tcPr/>
          <w:p>
            <w:pPr>
              <w:pStyle w:val="Compact"/>
              <w:jc w:val="left"/>
            </w:pPr>
            <w:r>
              <w:rPr>
                <w:sz w:val="18"/>
              </w:rPr>
              <w:t xml:space="preserve">Relative humidity</w:t>
            </w:r>
          </w:p>
        </w:tc>
        <w:tc>
          <w:tcPr/>
          <w:p>
            <w:pPr>
              <w:pStyle w:val="Compact"/>
              <w:jc w:val="left"/>
            </w:pPr>
            <w:r>
              <w:rPr>
                <w:sz w:val="18"/>
              </w:rPr>
              <w:t xml:space="preserve">Mean fusion</w:t>
            </w:r>
          </w:p>
        </w:tc>
        <w:tc>
          <w:tcPr/>
          <w:p>
            <w:pPr>
              <w:pStyle w:val="Compact"/>
              <w:jc w:val="left"/>
            </w:pPr>
            <w:r>
              <w:rPr>
                <w:sz w:val="18"/>
              </w:rPr>
              <w:t xml:space="preserve">FP32</w:t>
            </w:r>
          </w:p>
        </w:tc>
        <w:tc>
          <w:tcPr/>
          <w:p>
            <w:pPr>
              <w:pStyle w:val="Compact"/>
              <w:jc w:val="right"/>
            </w:pPr>
            <m:oMath>
              <m:r>
                <m:t>4.5993</m:t>
              </m:r>
              <m:r>
                <m:rPr>
                  <m:sty m:val="p"/>
                </m:rPr>
                <m:t>±</m:t>
              </m:r>
              <m:r>
                <m:t>0.0236</m:t>
              </m:r>
            </m:oMath>
          </w:p>
        </w:tc>
        <w:tc>
          <w:tcPr/>
          <w:p>
            <w:pPr>
              <w:pStyle w:val="Compact"/>
              <w:jc w:val="right"/>
            </w:pPr>
            <m:oMath>
              <m:r>
                <m:t>7.1322</m:t>
              </m:r>
              <m:r>
                <m:rPr>
                  <m:sty m:val="p"/>
                </m:rPr>
                <m:t>±</m:t>
              </m:r>
              <m:r>
                <m:t>0.0622</m:t>
              </m:r>
            </m:oMath>
          </w:p>
        </w:tc>
      </w:tr>
      <w:tr>
        <w:trPr>
          <w:cantSplit/>
        </w:trPr>
        <w:tc>
          <w:tcPr/>
          <w:p>
            <w:pPr>
              <w:pStyle w:val="Compact"/>
              <w:jc w:val="left"/>
            </w:pPr>
            <w:r>
              <w:rPr>
                <w:sz w:val="18"/>
              </w:rPr>
              <w:t xml:space="preserve">Relative humidity</w:t>
            </w:r>
          </w:p>
        </w:tc>
        <w:tc>
          <w:tcPr/>
          <w:p>
            <w:pPr>
              <w:pStyle w:val="Compact"/>
              <w:jc w:val="left"/>
            </w:pPr>
            <w:r>
              <w:rPr>
                <w:sz w:val="18"/>
              </w:rPr>
              <w:t xml:space="preserve">Full CLCRN-AGF</w:t>
            </w:r>
          </w:p>
        </w:tc>
        <w:tc>
          <w:tcPr/>
          <w:p>
            <w:pPr>
              <w:pStyle w:val="Compact"/>
              <w:jc w:val="left"/>
            </w:pPr>
            <w:r>
              <w:rPr>
                <w:sz w:val="18"/>
              </w:rPr>
              <w:t xml:space="preserve">FP32</w:t>
            </w:r>
          </w:p>
        </w:tc>
        <w:tc>
          <w:tcPr/>
          <w:p>
            <w:pPr>
              <w:pStyle w:val="Compact"/>
              <w:jc w:val="right"/>
            </w:pPr>
            <m:oMath>
              <m:r>
                <m:t>4.5550</m:t>
              </m:r>
              <m:r>
                <m:rPr>
                  <m:sty m:val="p"/>
                </m:rPr>
                <m:t>±</m:t>
              </m:r>
              <m:r>
                <m:t>0.0412</m:t>
              </m:r>
            </m:oMath>
          </w:p>
        </w:tc>
        <w:tc>
          <w:tcPr/>
          <w:p>
            <w:pPr>
              <w:pStyle w:val="Compact"/>
              <w:jc w:val="right"/>
            </w:pPr>
            <m:oMath>
              <m:r>
                <m:t>7.0403</m:t>
              </m:r>
              <m:r>
                <m:rPr>
                  <m:sty m:val="p"/>
                </m:rPr>
                <m:t>±</m:t>
              </m:r>
              <m:r>
                <m:t>0.0475</m:t>
              </m:r>
            </m:oMath>
          </w:p>
        </w:tc>
      </w:tr>
    </w:tbl>
    <w:bookmarkEnd w:id="34"/>
    <w:bookmarkEnd w:id="35"/>
    <w:bookmarkStart w:id="40" w:name="sec:robustness"/>
    <w:p>
      <w:pPr>
        <w:pStyle w:val="Heading2"/>
        <w:keepNext/>
      </w:pPr>
      <w:r>
        <w:rPr>
          <w:rStyle w:val="SectionNumber"/>
        </w:rPr>
        <w:t xml:space="preserve">3.5</w:t>
      </w:r>
      <w:r>
        <w:tab/>
      </w:r>
      <w:r>
        <w:t xml:space="preserve">Missing-input robustness</w:t>
      </w:r>
    </w:p>
    <w:p>
      <w:pPr>
        <w:pStyle w:val="FirstParagraph"/>
      </w:pPr>
      <w:r>
        <w:t xml:space="preserve">Both variants are evaluated on 64 deterministically spaced common test windows. Node-mask ratios 0.1, 0.2, 0.3 and 0.4 use mask seeds 11, 22 and 33, shared between variants. Masks remain fixed across input hours and signal channels; masked standardized values are replaced by zero, corresponding to the training mean. Masks are averaged within each training seed before summarizing five seeds. These sampled diagnostics (Fig. 4) neither establish full-test robustness nor provide a significance test for robustness differences.</w:t>
      </w:r>
    </w:p>
    <w:p>
      <w:pPr>
        <w:pStyle w:val="BodyText"/>
      </w:pPr>
      <w:r>
        <w:t xml:space="preserve">At 40% masking, mean relative MAE changes from each checkpoint’s clean score are Temperature: AGF +465.9%, control +474.1%; Relative humidity: AGF +74.7%, control +73.0%; Surface wind: AGF +84.7%, control +85.7%; Cloud cover: AGF +37.5%, control +35.5%. Each checkpoint supplies its own clean-score denominator, and all variants share the evaluated windows and mask seeds. The large temperature degradation reflects this training-mean-imputation stress test and does not demonstrate behaviour under naturally occurring missingness.</w:t>
      </w:r>
    </w:p>
    <w:bookmarkStart w:id="39" w:name="fig:robust"/>
    <w:p>
      <w:pPr>
        <w:pStyle w:val="CaptionedFigure"/>
      </w:pPr>
      <w:r>
        <w:drawing>
          <wp:inline>
            <wp:extent cx="4800600" cy="2958860"/>
            <wp:effectExtent b="0" l="0" r="0" t="0"/>
            <wp:docPr descr="" title="" id="37" name="Picture"/>
            <a:graphic>
              <a:graphicData uri="http://schemas.openxmlformats.org/drawingml/2006/picture">
                <pic:pic>
                  <pic:nvPicPr>
                    <pic:cNvPr descr="figs_revised/fig7_robustness_consistent.png" id="38" name="Picture"/>
                    <pic:cNvPicPr>
                      <a:picLocks noChangeArrowheads="1" noChangeAspect="1"/>
                    </pic:cNvPicPr>
                  </pic:nvPicPr>
                  <pic:blipFill>
                    <a:blip r:embed="rId36"/>
                    <a:stretch>
                      <a:fillRect/>
                    </a:stretch>
                  </pic:blipFill>
                  <pic:spPr bwMode="auto">
                    <a:xfrm>
                      <a:off x="0" y="0"/>
                      <a:ext cx="4800600" cy="2958860"/>
                    </a:xfrm>
                    <a:prstGeom prst="rect">
                      <a:avLst/>
                    </a:prstGeom>
                    <a:noFill/>
                    <a:ln w="9525">
                      <a:noFill/>
                      <a:headEnd/>
                      <a:tailEnd/>
                    </a:ln>
                  </pic:spPr>
                </pic:pic>
              </a:graphicData>
            </a:graphic>
          </wp:inline>
        </w:drawing>
      </w:r>
    </w:p>
    <w:p>
      <w:pPr>
        <w:pStyle w:val="ImageCaption"/>
      </w:pPr>
      <w:r>
        <w:t xml:space="preserve">Figure 4. Exploratory missing-input stress test using 64 deterministically spaced test windows, the same five trained seeds per variant as Table 1, and three mask seeds (11, 22, 33) at each nonzero ratio. A node mask is fixed across 12 input hours and all signal channels; standardized inputs are set to zero (training-mean imputation). Changes are relative to the clean score on the same 64 windows for each checkpoint. Masks are averaged within a trained seed; points/error bars show mean plus or minus sample SD across five trained seeds. These are sampled diagnostics, not complete-test performance or statistical significance tests.</w:t>
      </w:r>
    </w:p>
    <w:bookmarkEnd w:id="39"/>
    <w:bookmarkEnd w:id="40"/>
    <w:bookmarkStart w:id="42" w:name="sec:gate"/>
    <w:p>
      <w:pPr>
        <w:pStyle w:val="Heading2"/>
        <w:keepNext/>
      </w:pPr>
      <w:r>
        <w:rPr>
          <w:rStyle w:val="SectionNumber"/>
        </w:rPr>
        <w:t xml:space="preserve">3.6</w:t>
      </w:r>
      <w:r>
        <w:tab/>
      </w:r>
      <w:r>
        <w:t xml:space="preserve">Full-test gate diagnostics</w:t>
      </w:r>
    </w:p>
    <w:p>
      <w:pPr>
        <w:pStyle w:val="FirstParagraph"/>
      </w:pPr>
      <w:r>
        <w:t xml:space="preserve">Gate statistics retain all scalar channels, nodes, input hours, test windows and five AGF seeds per task (Table 3; Supplementary Fig. S4). The pooled activation standard deviation is not a between-seed standard error. A coefficient near one half does not imply equal information contribution, and a gate pattern alone does not establish a meteorological mechanism.</w:t>
      </w:r>
    </w:p>
    <w:bookmarkStart w:id="41" w:name="tab:gate"/>
    <w:p>
      <w:pPr>
        <w:pStyle w:val="TableCaption"/>
      </w:pPr>
      <w:r>
        <w:t xml:space="preserve">Table 3. Gate statistics pooled across the five newly trained AGF seeds. Rounded extrema may equal 0 or 1; this does not imply universal saturation.</w:t>
      </w:r>
    </w:p>
    <w:tbl>
      <w:tblPr>
        <w:tblStyle w:val="Table"/>
        <w:tblW w:type="auto" w:w="0"/>
        <w:tblLayout w:type="autofit"/>
        <w:tblLook w:firstRow="1" w:lastRow="0" w:firstColumn="0" w:lastColumn="0" w:noHBand="0" w:noVBand="0" w:val="0020"/>
        <w:tblCaption w:val="Table 3. Gate statistics pooled across the five newly trained AGF seeds. Rounded extrema may equal 0 or 1; this does not imply universal saturation."/>
      </w:tblPr>
      <w:tblGrid>
        <w:gridCol w:w="1320"/>
        <w:gridCol w:w="1320"/>
        <w:gridCol w:w="1320"/>
        <w:gridCol w:w="1320"/>
        <w:gridCol w:w="1320"/>
        <w:gridCol w:w="1320"/>
      </w:tblGrid>
      <w:tr>
        <w:trPr>
          <w:tblHeader w:val="on"/>
          <w:cantSplit/>
        </w:trPr>
        <w:tc>
          <w:tcPr/>
          <w:p>
            <w:pPr>
              <w:pStyle w:val="Compact"/>
              <w:jc w:val="left"/>
            </w:pPr>
            <w:r>
              <w:rPr>
                <w:sz w:val="18"/>
              </w:rPr>
              <w:t xml:space="preserve">Task</w:t>
            </w:r>
          </w:p>
        </w:tc>
        <w:tc>
          <w:tcPr/>
          <w:p>
            <w:pPr>
              <w:pStyle w:val="Compact"/>
              <w:jc w:val="right"/>
            </w:pPr>
            <w:r>
              <w:rPr>
                <w:sz w:val="18"/>
              </w:rPr>
              <w:t xml:space="preserve">Mean</w:t>
            </w:r>
          </w:p>
        </w:tc>
        <w:tc>
          <w:tcPr/>
          <w:p>
            <w:pPr>
              <w:pStyle w:val="Compact"/>
              <w:jc w:val="right"/>
            </w:pPr>
            <w:r>
              <w:rPr>
                <w:sz w:val="18"/>
              </w:rPr>
              <w:t xml:space="preserve">Pooled SD</w:t>
            </w:r>
          </w:p>
        </w:tc>
        <w:tc>
          <w:tcPr/>
          <w:p>
            <w:pPr>
              <w:pStyle w:val="Compact"/>
              <w:jc w:val="right"/>
            </w:pPr>
            <w:r>
              <w:rPr>
                <w:sz w:val="18"/>
              </w:rPr>
              <w:t xml:space="preserve">Min</w:t>
            </w:r>
          </w:p>
        </w:tc>
        <w:tc>
          <w:tcPr/>
          <w:p>
            <w:pPr>
              <w:pStyle w:val="Compact"/>
              <w:jc w:val="right"/>
            </w:pPr>
            <w:r>
              <w:rPr>
                <w:sz w:val="18"/>
              </w:rPr>
              <w:t xml:space="preserve">Max</w:t>
            </w:r>
          </w:p>
        </w:tc>
        <w:tc>
          <w:tcPr/>
          <w:p>
            <w:pPr>
              <w:pStyle w:val="Compact"/>
              <w:jc w:val="right"/>
            </w:pPr>
            <w:r>
              <w:rPr>
                <w:sz w:val="18"/>
              </w:rPr>
              <w:t xml:space="preserve">Scalar gates</w:t>
            </w:r>
          </w:p>
        </w:tc>
      </w:tr>
      <w:tr>
        <w:trPr>
          <w:cantSplit/>
        </w:trPr>
        <w:tc>
          <w:tcPr/>
          <w:p>
            <w:pPr>
              <w:pStyle w:val="Compact"/>
              <w:jc w:val="left"/>
            </w:pPr>
            <w:r>
              <w:rPr>
                <w:sz w:val="18"/>
              </w:rPr>
              <w:t xml:space="preserve">Temperature</w:t>
            </w:r>
          </w:p>
        </w:tc>
        <w:tc>
          <w:tcPr/>
          <w:p>
            <w:pPr>
              <w:pStyle w:val="Compact"/>
              <w:jc w:val="right"/>
            </w:pPr>
            <w:r>
              <w:rPr>
                <w:sz w:val="18"/>
              </w:rPr>
              <w:t xml:space="preserve">0.600</w:t>
            </w:r>
          </w:p>
        </w:tc>
        <w:tc>
          <w:tcPr/>
          <w:p>
            <w:pPr>
              <w:pStyle w:val="Compact"/>
              <w:jc w:val="right"/>
            </w:pPr>
            <w:r>
              <w:rPr>
                <w:sz w:val="18"/>
              </w:rPr>
              <w:t xml:space="preserve">0.196</w:t>
            </w:r>
          </w:p>
        </w:tc>
        <w:tc>
          <w:tcPr/>
          <w:p>
            <w:pPr>
              <w:pStyle w:val="Compact"/>
              <w:jc w:val="right"/>
            </w:pPr>
            <w:r>
              <w:rPr>
                <w:sz w:val="18"/>
              </w:rPr>
              <w:t xml:space="preserve">0.001</w:t>
            </w:r>
          </w:p>
        </w:tc>
        <w:tc>
          <w:tcPr/>
          <w:p>
            <w:pPr>
              <w:pStyle w:val="Compact"/>
              <w:jc w:val="right"/>
            </w:pPr>
            <w:r>
              <w:rPr>
                <w:sz w:val="18"/>
              </w:rPr>
              <w:t xml:space="preserve">1.000</w:t>
            </w:r>
          </w:p>
        </w:tc>
        <w:tc>
          <w:tcPr/>
          <w:p>
            <w:pPr>
              <w:pStyle w:val="Compact"/>
              <w:jc w:val="right"/>
            </w:pPr>
            <w:r>
              <w:rPr>
                <w:sz w:val="18"/>
              </w:rPr>
              <w:t xml:space="preserve">645,857,280</w:t>
            </w:r>
          </w:p>
        </w:tc>
      </w:tr>
      <w:tr>
        <w:trPr>
          <w:cantSplit/>
        </w:trPr>
        <w:tc>
          <w:tcPr/>
          <w:p>
            <w:pPr>
              <w:pStyle w:val="Compact"/>
              <w:jc w:val="left"/>
            </w:pPr>
            <w:r>
              <w:rPr>
                <w:sz w:val="18"/>
              </w:rPr>
              <w:t xml:space="preserve">Relative humidity</w:t>
            </w:r>
          </w:p>
        </w:tc>
        <w:tc>
          <w:tcPr/>
          <w:p>
            <w:pPr>
              <w:pStyle w:val="Compact"/>
              <w:jc w:val="right"/>
            </w:pPr>
            <w:r>
              <w:rPr>
                <w:sz w:val="18"/>
              </w:rPr>
              <w:t xml:space="preserve">0.570</w:t>
            </w:r>
          </w:p>
        </w:tc>
        <w:tc>
          <w:tcPr/>
          <w:p>
            <w:pPr>
              <w:pStyle w:val="Compact"/>
              <w:jc w:val="right"/>
            </w:pPr>
            <w:r>
              <w:rPr>
                <w:sz w:val="18"/>
              </w:rPr>
              <w:t xml:space="preserve">0.244</w:t>
            </w:r>
          </w:p>
        </w:tc>
        <w:tc>
          <w:tcPr/>
          <w:p>
            <w:pPr>
              <w:pStyle w:val="Compact"/>
              <w:jc w:val="right"/>
            </w:pPr>
            <w:r>
              <w:rPr>
                <w:sz w:val="18"/>
              </w:rPr>
              <w:t xml:space="preserve">0.001</w:t>
            </w:r>
          </w:p>
        </w:tc>
        <w:tc>
          <w:tcPr/>
          <w:p>
            <w:pPr>
              <w:pStyle w:val="Compact"/>
              <w:jc w:val="right"/>
            </w:pPr>
            <w:r>
              <w:rPr>
                <w:sz w:val="18"/>
              </w:rPr>
              <w:t xml:space="preserve">1.000</w:t>
            </w:r>
          </w:p>
        </w:tc>
        <w:tc>
          <w:tcPr/>
          <w:p>
            <w:pPr>
              <w:pStyle w:val="Compact"/>
              <w:jc w:val="right"/>
            </w:pPr>
            <w:r>
              <w:rPr>
                <w:sz w:val="18"/>
              </w:rPr>
              <w:t xml:space="preserve">645,857,280</w:t>
            </w:r>
          </w:p>
        </w:tc>
      </w:tr>
      <w:tr>
        <w:trPr>
          <w:cantSplit/>
        </w:trPr>
        <w:tc>
          <w:tcPr/>
          <w:p>
            <w:pPr>
              <w:pStyle w:val="Compact"/>
              <w:jc w:val="left"/>
            </w:pPr>
            <w:r>
              <w:rPr>
                <w:sz w:val="18"/>
              </w:rPr>
              <w:t xml:space="preserve">Surface wind</w:t>
            </w:r>
          </w:p>
        </w:tc>
        <w:tc>
          <w:tcPr/>
          <w:p>
            <w:pPr>
              <w:pStyle w:val="Compact"/>
              <w:jc w:val="right"/>
            </w:pPr>
            <w:r>
              <w:rPr>
                <w:sz w:val="18"/>
              </w:rPr>
              <w:t xml:space="preserve">0.508</w:t>
            </w:r>
          </w:p>
        </w:tc>
        <w:tc>
          <w:tcPr/>
          <w:p>
            <w:pPr>
              <w:pStyle w:val="Compact"/>
              <w:jc w:val="right"/>
            </w:pPr>
            <w:r>
              <w:rPr>
                <w:sz w:val="18"/>
              </w:rPr>
              <w:t xml:space="preserve">0.130</w:t>
            </w:r>
          </w:p>
        </w:tc>
        <w:tc>
          <w:tcPr/>
          <w:p>
            <w:pPr>
              <w:pStyle w:val="Compact"/>
              <w:jc w:val="right"/>
            </w:pPr>
            <w:r>
              <w:rPr>
                <w:sz w:val="18"/>
              </w:rPr>
              <w:t xml:space="preserve">0.049</w:t>
            </w:r>
          </w:p>
        </w:tc>
        <w:tc>
          <w:tcPr/>
          <w:p>
            <w:pPr>
              <w:pStyle w:val="Compact"/>
              <w:jc w:val="right"/>
            </w:pPr>
            <w:r>
              <w:rPr>
                <w:sz w:val="18"/>
              </w:rPr>
              <w:t xml:space="preserve">0.954</w:t>
            </w:r>
          </w:p>
        </w:tc>
        <w:tc>
          <w:tcPr/>
          <w:p>
            <w:pPr>
              <w:pStyle w:val="Compact"/>
              <w:jc w:val="right"/>
            </w:pPr>
            <w:r>
              <w:rPr>
                <w:sz w:val="18"/>
              </w:rPr>
              <w:t xml:space="preserve">645,857,280</w:t>
            </w:r>
          </w:p>
        </w:tc>
      </w:tr>
      <w:tr>
        <w:trPr>
          <w:cantSplit/>
        </w:trPr>
        <w:tc>
          <w:tcPr/>
          <w:p>
            <w:pPr>
              <w:pStyle w:val="Compact"/>
              <w:jc w:val="left"/>
            </w:pPr>
            <w:r>
              <w:rPr>
                <w:sz w:val="18"/>
              </w:rPr>
              <w:t xml:space="preserve">Cloud cover</w:t>
            </w:r>
          </w:p>
        </w:tc>
        <w:tc>
          <w:tcPr/>
          <w:p>
            <w:pPr>
              <w:pStyle w:val="Compact"/>
              <w:jc w:val="right"/>
            </w:pPr>
            <w:r>
              <w:rPr>
                <w:sz w:val="18"/>
              </w:rPr>
              <w:t xml:space="preserve">0.475</w:t>
            </w:r>
          </w:p>
        </w:tc>
        <w:tc>
          <w:tcPr/>
          <w:p>
            <w:pPr>
              <w:pStyle w:val="Compact"/>
              <w:jc w:val="right"/>
            </w:pPr>
            <w:r>
              <w:rPr>
                <w:sz w:val="18"/>
              </w:rPr>
              <w:t xml:space="preserve">0.208</w:t>
            </w:r>
          </w:p>
        </w:tc>
        <w:tc>
          <w:tcPr/>
          <w:p>
            <w:pPr>
              <w:pStyle w:val="Compact"/>
              <w:jc w:val="right"/>
            </w:pPr>
            <w:r>
              <w:rPr>
                <w:sz w:val="18"/>
              </w:rPr>
              <w:t xml:space="preserve">0.002</w:t>
            </w:r>
          </w:p>
        </w:tc>
        <w:tc>
          <w:tcPr/>
          <w:p>
            <w:pPr>
              <w:pStyle w:val="Compact"/>
              <w:jc w:val="right"/>
            </w:pPr>
            <w:r>
              <w:rPr>
                <w:sz w:val="18"/>
              </w:rPr>
              <w:t xml:space="preserve">0.997</w:t>
            </w:r>
          </w:p>
        </w:tc>
        <w:tc>
          <w:tcPr/>
          <w:p>
            <w:pPr>
              <w:pStyle w:val="Compact"/>
              <w:jc w:val="right"/>
            </w:pPr>
            <w:r>
              <w:rPr>
                <w:sz w:val="18"/>
              </w:rPr>
              <w:t xml:space="preserve">645,857,280</w:t>
            </w:r>
          </w:p>
        </w:tc>
      </w:tr>
    </w:tbl>
    <w:bookmarkEnd w:id="41"/>
    <w:bookmarkEnd w:id="42"/>
    <w:bookmarkStart w:id="47" w:name="sec:cost_results"/>
    <w:p>
      <w:pPr>
        <w:pStyle w:val="Heading2"/>
        <w:keepNext/>
      </w:pPr>
      <w:r>
        <w:rPr>
          <w:rStyle w:val="SectionNumber"/>
        </w:rPr>
        <w:t xml:space="preserve">3.7</w:t>
      </w:r>
      <w:r>
        <w:tab/>
      </w:r>
      <w:r>
        <w:t xml:space="preserve">Computational cost in context</w:t>
      </w:r>
    </w:p>
    <w:p>
      <w:pPr>
        <w:pStyle w:val="FirstParagraph"/>
      </w:pPr>
      <w:r>
        <w:t xml:space="preserve">Across the 46 completed runs, the sum of recorded epoch training-plus-validation durations is 56.34 GPU wall-clock hours on a serial single-GPU queue. This sum excludes initialization, final test inference, interruption/restart overhead and supplementary analysis; it is not an end-to-end campaign-duration or energy estimate.</w:t>
      </w:r>
    </w:p>
    <w:bookmarkStart w:id="43" w:name="Xa4581ae89644d4f898c6b4afc404ad10f6b95c8"/>
    <w:p>
      <w:pPr>
        <w:pStyle w:val="Heading4"/>
        <w:keepNext/>
      </w:pPr>
      <w:r>
        <w:rPr>
          <w:rStyle w:val="SectionNumber"/>
        </w:rPr>
        <w:t xml:space="preserve">3.7.0.1</w:t>
      </w:r>
      <w:r>
        <w:tab/>
      </w:r>
      <w:r>
        <w:t xml:space="preserve">Historical-weight inference microbenchmark.</w:t>
      </w:r>
    </w:p>
    <w:p>
      <w:pPr>
        <w:pStyle w:val="FirstParagraph"/>
      </w:pPr>
      <w:r>
        <w:t xml:space="preserve">The following inherited timing evidence uses archived temperature seed-2021 weights, not the newly trained weights in the accuracy tables. It measures a fixed batch of 32 standardized windows, FP32, 12 inputs and 12 outputs, on an RTX 5090 Laptop GPU after 10 warm-up iterations and 30 synchronized repetitions. Historical control/AGF mean batch latencies were 220.53/205.60 ms (iteration SD 18.53/5.43 ms), with peak allocated memory 333.65/614.50 MiB. This sequential repeated-batch profile does not establish a speed advantage, does not measure new-weight inference, and excludes preprocessing. The historical benchmark data remain separately labelled in the supplied revision package.</w:t>
      </w:r>
    </w:p>
    <w:bookmarkEnd w:id="43"/>
    <w:bookmarkStart w:id="44" w:name="X932552e61c908a68cad202065ee355cde4b6f7f"/>
    <w:p>
      <w:pPr>
        <w:pStyle w:val="Heading4"/>
        <w:keepNext/>
      </w:pPr>
      <w:r>
        <w:rPr>
          <w:rStyle w:val="SectionNumber"/>
        </w:rPr>
        <w:t xml:space="preserve">3.7.0.2</w:t>
      </w:r>
      <w:r>
        <w:tab/>
      </w:r>
      <w:r>
        <w:t xml:space="preserve">Context relative to recent global weather models.</w:t>
      </w:r>
    </w:p>
    <w:p>
      <w:pPr>
        <w:pStyle w:val="FirstParagraph"/>
      </w:pPr>
      <w:r>
        <w:t xml:space="preserve">The scope of CLCRN-AGF is a controlled, task-specific forecast on a</w:t>
      </w:r>
      <w:r>
        <w:t xml:space="preserve"> </w:t>
      </w:r>
      <m:oMath>
        <m:r>
          <m:t>32</m:t>
        </m:r>
        <m:r>
          <m:rPr>
            <m:sty m:val="p"/>
          </m:rPr>
          <m:t>×</m:t>
        </m:r>
        <m:r>
          <m:t>64</m:t>
        </m:r>
      </m:oMath>
      <w:r>
        <w:t xml:space="preserve"> </w:t>
      </w:r>
      <w:r>
        <w:t xml:space="preserve">grid, using 12 hourly inputs to predict the next 12 hours.</w:t>
      </w:r>
      <w:r>
        <w:t xml:space="preserve"> </w:t>
      </w:r>
      <w:r>
        <w:t xml:space="preserve">Recent global ensemble systems address a substantially broader task</w:t>
      </w:r>
      <w:r>
        <w:t xml:space="preserve"> </w:t>
      </w:r>
      <w:r>
        <w:t xml:space="preserve">(Table 4). WeatherNext 3 reports improved</w:t>
      </w:r>
      <w:r>
        <w:t xml:space="preserve"> </w:t>
      </w:r>
      <w:r>
        <w:t xml:space="preserve">probabilistic skill over WeatherNext 2 for most upper-level targets and</w:t>
      </w:r>
      <w:r>
        <w:t xml:space="preserve"> </w:t>
      </w:r>
      <w:r>
        <w:t xml:space="preserve">surface fields in its 2024 evaluation, with some exceptions at short lead</w:t>
      </w:r>
      <w:r>
        <w:t xml:space="preserve"> </w:t>
      </w:r>
      <w:r>
        <w:t xml:space="preserve">times </w:t>
      </w:r>
      <w:r>
        <w:rPr>
          <w:vertAlign w:val="superscript"/>
        </w:rPr>
        <w:t xml:space="preserve">17</w:t>
      </w:r>
      <w:r>
        <w:t xml:space="preserve">. FourCastNet 3 reports skill competitive</w:t>
      </w:r>
      <w:r>
        <w:t xml:space="preserve"> </w:t>
      </w:r>
      <w:r>
        <w:t xml:space="preserve">with GenCast and better than IFS-ENS in its 2020 WeatherBench 2-style</w:t>
      </w:r>
      <w:r>
        <w:t xml:space="preserve"> </w:t>
      </w:r>
      <w:r>
        <w:t xml:space="preserve">evaluation </w:t>
      </w:r>
      <w:r>
        <w:rPr>
          <w:vertAlign w:val="superscript"/>
        </w:rPr>
        <w:t xml:space="preserve">19</w:t>
      </w:r>
      <w:r>
        <w:t xml:space="preserve">. These reports do not establish an</w:t>
      </w:r>
      <w:r>
        <w:t xml:space="preserve"> </w:t>
      </w:r>
      <w:r>
        <w:t xml:space="preserve">accuracy ranking against CLCRN-AGF: the verification years, initial</w:t>
      </w:r>
      <w:r>
        <w:t xml:space="preserve"> </w:t>
      </w:r>
      <w:r>
        <w:t xml:space="preserve">conditions, spatial resolutions, variables, forecast horizons, spatial</w:t>
      </w:r>
      <w:r>
        <w:t xml:space="preserve"> </w:t>
      </w:r>
      <w:r>
        <w:t xml:space="preserve">weighting and deterministic versus probabilistic scores differ. In</w:t>
      </w:r>
      <w:r>
        <w:t xml:space="preserve"> </w:t>
      </w:r>
      <w:r>
        <w:t xml:space="preserve">particular, pressure-level specific humidity is not interchangeable with</w:t>
      </w:r>
      <w:r>
        <w:t xml:space="preserve"> </w:t>
      </w:r>
      <w:r>
        <w:t xml:space="preserve">the relative-humidity target used here. A numerical head-to-head comparison would</w:t>
      </w:r>
      <w:r>
        <w:t xml:space="preserve"> </w:t>
      </w:r>
      <w:r>
        <w:t xml:space="preserve">require harmonized data and verification.</w:t>
      </w:r>
    </w:p>
    <w:bookmarkEnd w:id="44"/>
    <w:bookmarkStart w:id="46" w:name="training-cost-and-practical-scope."/>
    <w:p>
      <w:pPr>
        <w:pStyle w:val="Heading4"/>
        <w:keepNext/>
      </w:pPr>
      <w:r>
        <w:rPr>
          <w:rStyle w:val="SectionNumber"/>
        </w:rPr>
        <w:t xml:space="preserve">3.7.0.3</w:t>
      </w:r>
      <w:r>
        <w:tab/>
      </w:r>
      <w:r>
        <w:t xml:space="preserve">Training cost and practical scope.</w:t>
      </w:r>
    </w:p>
    <w:p>
      <w:pPr>
        <w:pStyle w:val="FirstParagraph"/>
      </w:pPr>
      <w:r>
        <w:t xml:space="preserve">The reported training resources also differ substantially. WeatherNext 3</w:t>
      </w:r>
      <w:r>
        <w:t xml:space="preserve"> </w:t>
      </w:r>
      <w:r>
        <w:t xml:space="preserve">uses about 6.7 wall-clock days per model seed; its two seeds jointly</w:t>
      </w:r>
      <w:r>
        <w:t xml:space="preserve"> </w:t>
      </w:r>
      <w:r>
        <w:t xml:space="preserve">require about 4.8 TPUv4 chip-years and 8.9 TPU7x chip-years </w:t>
      </w:r>
      <w:r>
        <w:rPr>
          <w:vertAlign w:val="superscript"/>
        </w:rPr>
        <w:t xml:space="preserve">17</w:t>
      </w:r>
      <w:r>
        <w:t xml:space="preserve">.</w:t>
      </w:r>
      <w:r>
        <w:t xml:space="preserve"> </w:t>
      </w:r>
      <w:r>
        <w:t xml:space="preserve">FourCastNet 3 reports three stages: 78 h on 1,024 H100 GPUs, 15 h on</w:t>
      </w:r>
      <w:r>
        <w:t xml:space="preserve"> </w:t>
      </w:r>
      <w:r>
        <w:t xml:space="preserve">512 A100 GPUs, and 8 h on 256 H100 GPUs </w:t>
      </w:r>
      <w:r>
        <w:rPr>
          <w:vertAlign w:val="superscript"/>
        </w:rPr>
        <w:t xml:space="preserve">19</w:t>
      </w:r>
      <w:r>
        <w:t xml:space="preserve">.</w:t>
      </w:r>
      <w:r>
        <w:t xml:space="preserve"> </w:t>
      </w:r>
      <w:r>
        <w:t xml:space="preserve">These resources are reported separately from inference, and different</w:t>
      </w:r>
      <w:r>
        <w:t xml:space="preserve"> </w:t>
      </w:r>
      <w:r>
        <w:t xml:space="preserve">accelerator types are not converted into a common cost unit. The</w:t>
      </w:r>
      <w:r>
        <w:t xml:space="preserve"> </w:t>
      </w:r>
      <w:r>
        <w:t xml:space="preserve">single-member inference timings in Table 4</w:t>
      </w:r>
      <w:r>
        <w:t xml:space="preserve"> </w:t>
      </w:r>
      <w:r>
        <w:t xml:space="preserve">are neither full-ensemble timings nor measurements on the hardware used here.</w:t>
      </w:r>
      <w:r>
        <w:t xml:space="preserve"> </w:t>
      </w:r>
      <w:r>
        <w:t xml:space="preserve">CLCRN-AGF is therefore positioned as a compact setting for retraining and</w:t>
      </w:r>
      <w:r>
        <w:t xml:space="preserve"> </w:t>
      </w:r>
      <w:r>
        <w:t xml:space="preserve">controlled methodological studies; this experiment does not establish</w:t>
      </w:r>
      <w:r>
        <w:t xml:space="preserve"> </w:t>
      </w:r>
      <w:r>
        <w:t xml:space="preserve">competitive operational forecast skill or superior speed at matched</w:t>
      </w:r>
      <w:r>
        <w:t xml:space="preserve"> </w:t>
      </w:r>
      <w:r>
        <w:t xml:space="preserve">resolution and forecast coverage.</w:t>
      </w:r>
    </w:p>
    <w:bookmarkStart w:id="45" w:name="tab:large_weather_context"/>
    <w:p>
      <w:pPr>
        <w:pStyle w:val="TableCaption"/>
      </w:pPr>
      <w:r>
        <w:t xml:space="preserve">Table 4. Context from published global-model reports, not a common-test</w:t>
      </w:r>
      <w:r>
        <w:t xml:space="preserve"> </w:t>
      </w:r>
      <w:r>
        <w:t xml:space="preserve">accuracy or hardware benchmark. WeatherNext 3 specifications are taken</w:t>
      </w:r>
      <w:r>
        <w:t xml:space="preserve"> </w:t>
      </w:r>
      <w:r>
        <w:t xml:space="preserve">from the official documentation checked on 8 October 2026. Timings are</w:t>
      </w:r>
      <w:r>
        <w:t xml:space="preserve"> </w:t>
      </w:r>
      <w:r>
        <w:t xml:space="preserve">per ensemble member as reported by the respective research papers.</w:t>
      </w:r>
    </w:p>
    <w:tbl>
      <w:tblPr>
        <w:tblStyle w:val="Table"/>
        <w:tblW w:type="pct" w:w="4450"/>
        <w:tblLayout w:type="autofit"/>
        <w:tblLook w:firstRow="1" w:lastRow="0" w:firstColumn="0" w:lastColumn="0" w:noHBand="0" w:noVBand="0" w:val="0020"/>
        <w:tblCaption w:val="Table 4. Context from published global-model reports, not a common-test accuracy or hardware benchmark. WeatherNext 3 specifications are taken from the official documentation checked on 8 October 2026. Timings are per ensemble member as reported by the respective research papers."/>
      </w:tblPr>
      <w:tblGrid>
        <w:gridCol w:w="1188"/>
        <w:gridCol w:w="2059"/>
        <w:gridCol w:w="2059"/>
        <w:gridCol w:w="1742"/>
      </w:tblGrid>
      <w:tr>
        <w:trPr>
          <w:tblHeader w:val="on"/>
          <w:cantSplit/>
        </w:trPr>
        <w:tc>
          <w:tcPr/>
          <w:p>
            <w:pPr>
              <w:pStyle w:val="Compact"/>
              <w:jc w:val="left"/>
            </w:pPr>
            <w:r>
              <w:rPr>
                <w:sz w:val="18"/>
              </w:rPr>
              <w:t xml:space="preserve">System</w:t>
            </w:r>
          </w:p>
        </w:tc>
        <w:tc>
          <w:tcPr/>
          <w:p>
            <w:pPr>
              <w:pStyle w:val="Compact"/>
              <w:jc w:val="left"/>
            </w:pPr>
            <w:r>
              <w:rPr>
                <w:sz w:val="18"/>
              </w:rPr>
              <w:t xml:space="preserve">Spatial/temporal output and horizon</w:t>
            </w:r>
          </w:p>
        </w:tc>
        <w:tc>
          <w:tcPr/>
          <w:p>
            <w:pPr>
              <w:pStyle w:val="Compact"/>
              <w:jc w:val="left"/>
            </w:pPr>
            <w:r>
              <w:rPr>
                <w:sz w:val="18"/>
              </w:rPr>
              <w:t xml:space="preserve">Predicted fields</w:t>
            </w:r>
          </w:p>
        </w:tc>
        <w:tc>
          <w:tcPr/>
          <w:p>
            <w:pPr>
              <w:pStyle w:val="Compact"/>
              <w:jc w:val="left"/>
            </w:pPr>
            <w:r>
              <w:rPr>
                <w:sz w:val="18"/>
              </w:rPr>
              <w:t xml:space="preserve">Reported inference</w:t>
            </w:r>
          </w:p>
        </w:tc>
      </w:tr>
      <w:tr>
        <w:trPr>
          <w:cantSplit/>
        </w:trPr>
        <w:tc>
          <w:tcPr/>
          <w:p>
            <w:pPr>
              <w:pStyle w:val="Compact"/>
              <w:jc w:val="left"/>
            </w:pPr>
            <w:r>
              <w:rPr>
                <w:sz w:val="18"/>
              </w:rPr>
              <w:t xml:space="preserve">CLCRN-AGF (this study)</w:t>
            </w:r>
          </w:p>
        </w:tc>
        <w:tc>
          <w:tcPr/>
          <w:p>
            <w:pPr>
              <w:pStyle w:val="Compact"/>
              <w:jc w:val="left"/>
            </w:pPr>
            <m:oMath>
              <m:r>
                <m:t>32</m:t>
              </m:r>
              <m:r>
                <m:rPr>
                  <m:sty m:val="p"/>
                </m:rPr>
                <m:t>×</m:t>
              </m:r>
              <m:r>
                <m:t>64</m:t>
              </m:r>
            </m:oMath>
            <w:r>
              <w:rPr>
                <w:sz w:val="18"/>
              </w:rPr>
              <w:t xml:space="preserve">; hourly; 12 h</w:t>
            </w:r>
          </w:p>
        </w:tc>
        <w:tc>
          <w:tcPr/>
          <w:p>
            <w:pPr>
              <w:pStyle w:val="Compact"/>
              <w:jc w:val="left"/>
            </w:pPr>
            <w:r>
              <w:rPr>
                <w:sz w:val="18"/>
              </w:rPr>
              <w:t xml:space="preserve">Separate temperature, relative-humidity, wind and cloud-cover tasks</w:t>
            </w:r>
          </w:p>
        </w:tc>
        <w:tc>
          <w:tcPr/>
          <w:p>
            <w:pPr>
              <w:pStyle w:val="Compact"/>
              <w:jc w:val="left"/>
            </w:pPr>
            <w:r>
              <w:rPr>
                <w:sz w:val="18"/>
              </w:rPr>
              <w:t xml:space="preserve">Single RTX 5090 Laptop GPU; historical-weight batch profile only; no new-weight timing claim</w:t>
            </w:r>
          </w:p>
        </w:tc>
      </w:tr>
      <w:tr>
        <w:trPr>
          <w:cantSplit/>
        </w:trPr>
        <w:tc>
          <w:tcPr/>
          <w:p>
            <w:pPr>
              <w:pStyle w:val="Compact"/>
              <w:jc w:val="left"/>
            </w:pPr>
            <w:r>
              <w:rPr>
                <w:sz w:val="18"/>
              </w:rPr>
              <w:t xml:space="preserve">WeatherNext 3 </w:t>
            </w:r>
            <w:r>
              <w:rPr>
                <w:sz w:val="18"/>
                <w:vertAlign w:val="superscript"/>
              </w:rPr>
              <w:t xml:space="preserve">17,18</w:t>
            </w:r>
          </w:p>
        </w:tc>
        <w:tc>
          <w:tcPr/>
          <w:p>
            <w:pPr>
              <w:pStyle w:val="Compact"/>
              <w:jc w:val="left"/>
            </w:pPr>
            <m:oMath>
              <m:sSup>
                <m:e>
                  <m:r>
                    <m:t>0.1</m:t>
                  </m:r>
                </m:e>
                <m:sup>
                  <m:r>
                    <m:rPr>
                      <m:sty m:val="p"/>
                    </m:rPr>
                    <m:t>∘</m:t>
                  </m:r>
                </m:sup>
              </m:sSup>
            </m:oMath>
            <w:r>
              <w:rPr>
                <w:sz w:val="18"/>
              </w:rPr>
              <w:t xml:space="preserve"> </w:t>
            </w:r>
            <w:r>
              <w:rPr>
                <w:sz w:val="18"/>
              </w:rPr>
              <w:t xml:space="preserve">surface,</w:t>
            </w:r>
            <w:r>
              <w:rPr>
                <w:sz w:val="18"/>
              </w:rPr>
              <w:t xml:space="preserve"> </w:t>
            </w:r>
            <m:oMath>
              <m:sSup>
                <m:e>
                  <m:r>
                    <m:t>0.25</m:t>
                  </m:r>
                </m:e>
                <m:sup>
                  <m:r>
                    <m:rPr>
                      <m:sty m:val="p"/>
                    </m:rPr>
                    <m:t>∘</m:t>
                  </m:r>
                </m:sup>
              </m:sSup>
            </m:oMath>
            <w:r>
              <w:rPr>
                <w:sz w:val="18"/>
              </w:rPr>
              <w:t xml:space="preserve"> </w:t>
            </w:r>
            <w:r>
              <w:rPr>
                <w:sz w:val="18"/>
              </w:rPr>
              <w:t xml:space="preserve">pressure levels,</w:t>
            </w:r>
            <w:r>
              <w:rPr>
                <w:sz w:val="18"/>
              </w:rPr>
              <w:t xml:space="preserve"> </w:t>
            </w:r>
            <m:oMath>
              <m:sSup>
                <m:e>
                  <m:r>
                    <m:t>0.05</m:t>
                  </m:r>
                </m:e>
                <m:sup>
                  <m:r>
                    <m:rPr>
                      <m:sty m:val="p"/>
                    </m:rPr>
                    <m:t>∘</m:t>
                  </m:r>
                </m:sup>
              </m:sSup>
            </m:oMath>
            <w:r>
              <w:rPr>
                <w:sz w:val="18"/>
              </w:rPr>
              <w:t xml:space="preserve"> </w:t>
            </w:r>
            <w:r>
              <w:rPr>
                <w:sz w:val="18"/>
              </w:rPr>
              <w:t xml:space="preserve">station head; hourly surface output; 15 days for main cycles</w:t>
            </w:r>
          </w:p>
        </w:tc>
        <w:tc>
          <w:tcPr/>
          <w:p>
            <w:pPr>
              <w:pStyle w:val="Compact"/>
              <w:jc w:val="left"/>
            </w:pPr>
            <w:r>
              <w:rPr>
                <w:sz w:val="18"/>
              </w:rPr>
              <w:t xml:space="preserve">Surface/upper-air fields, cloud, radiation, precipitation and station temperature/dewpoint</w:t>
            </w:r>
          </w:p>
        </w:tc>
        <w:tc>
          <w:tcPr/>
          <w:p>
            <w:pPr>
              <w:pStyle w:val="Compact"/>
              <w:jc w:val="left"/>
            </w:pPr>
            <w:r>
              <w:rPr>
                <w:sz w:val="18"/>
              </w:rPr>
              <w:t xml:space="preserve">About 6.3 min per member on 4 TPUv5p chips</w:t>
            </w:r>
          </w:p>
        </w:tc>
      </w:tr>
      <w:tr>
        <w:trPr>
          <w:cantSplit/>
        </w:trPr>
        <w:tc>
          <w:tcPr/>
          <w:p>
            <w:pPr>
              <w:pStyle w:val="Compact"/>
              <w:jc w:val="left"/>
            </w:pPr>
            <w:r>
              <w:rPr>
                <w:sz w:val="18"/>
              </w:rPr>
              <w:t xml:space="preserve">FourCastNet 3 </w:t>
            </w:r>
            <w:r>
              <w:rPr>
                <w:sz w:val="18"/>
                <w:vertAlign w:val="superscript"/>
              </w:rPr>
              <w:t xml:space="preserve">19</w:t>
            </w:r>
          </w:p>
        </w:tc>
        <w:tc>
          <w:tcPr/>
          <w:p>
            <w:pPr>
              <w:pStyle w:val="Compact"/>
              <w:jc w:val="left"/>
            </w:pPr>
            <m:oMath>
              <m:sSup>
                <m:e>
                  <m:r>
                    <m:t>0.25</m:t>
                  </m:r>
                </m:e>
                <m:sup>
                  <m:r>
                    <m:rPr>
                      <m:sty m:val="p"/>
                    </m:rPr>
                    <m:t>∘</m:t>
                  </m:r>
                </m:sup>
              </m:sSup>
            </m:oMath>
            <w:r>
              <w:rPr>
                <w:sz w:val="18"/>
              </w:rPr>
              <w:t xml:space="preserve">; 6-hourly; 15-day skill evaluation, rollouts assessed to 60 days</w:t>
            </w:r>
          </w:p>
        </w:tc>
        <w:tc>
          <w:tcPr/>
          <w:p>
            <w:pPr>
              <w:pStyle w:val="Compact"/>
              <w:jc w:val="left"/>
            </w:pPr>
            <w:r>
              <w:rPr>
                <w:sz w:val="18"/>
              </w:rPr>
              <w:t xml:space="preserve">72 channels: 7 surface fields and 5 variables at 13 pressure levels</w:t>
            </w:r>
          </w:p>
        </w:tc>
        <w:tc>
          <w:tcPr/>
          <w:p>
            <w:pPr>
              <w:pStyle w:val="Compact"/>
              <w:jc w:val="left"/>
            </w:pPr>
            <w:r>
              <w:rPr>
                <w:sz w:val="18"/>
              </w:rPr>
              <w:t xml:space="preserve">About 1 min per 15-day member on one H100 GPU</w:t>
            </w:r>
          </w:p>
        </w:tc>
      </w:tr>
    </w:tbl>
    <w:bookmarkEnd w:id="45"/>
    <w:bookmarkEnd w:id="46"/>
    <w:bookmarkEnd w:id="47"/>
    <w:bookmarkEnd w:id="48"/>
    <w:bookmarkStart w:id="49" w:name="sec:discussion"/>
    <w:p>
      <w:pPr>
        <w:pStyle w:val="Heading1"/>
        <w:keepNext/>
      </w:pPr>
      <w:r>
        <w:rPr>
          <w:rStyle w:val="SectionNumber"/>
        </w:rPr>
        <w:t xml:space="preserve">4</w:t>
      </w:r>
      <w:r>
        <w:tab/>
      </w:r>
      <w:r>
        <w:t xml:space="preserve">Discussion</w:t>
      </w:r>
    </w:p>
    <w:p>
      <w:pPr>
        <w:pStyle w:val="FirstParagraph"/>
      </w:pPr>
      <w:r>
        <w:t xml:space="preserve">The evidence supports a modest relative-humidity improvement from AGF under this fixed protocol, with lower MAE and RMSE after the eight-test correction. It does not support a general improvement across weather targets. The temperature, wind and cloud-cover estimates remain inconclusive, and the broad temperature and wind intervals leave room for both benefit and harm.</w:t>
      </w:r>
    </w:p>
    <w:p>
      <w:pPr>
        <w:pStyle w:val="BodyText"/>
      </w:pPr>
      <w:r>
        <w:t xml:space="preserve">The results now address the corrected optimization protocol directly: all</w:t>
      </w:r>
      <w:r>
        <w:t xml:space="preserve"> </w:t>
      </w:r>
      <w:r>
        <w:t xml:space="preserve">primary and mean-fusion models are newly trained with zero-inclusive</w:t>
      </w:r>
      <w:r>
        <w:t xml:space="preserve"> </w:t>
      </w:r>
      <w:r>
        <w:t xml:space="preserve">training and validation, saved every epoch and selected by validation alone.</w:t>
      </w:r>
      <w:r>
        <w:t xml:space="preserve"> </w:t>
      </w:r>
      <w:r>
        <w:t xml:space="preserve">This resolves the earlier training/evaluation support mismatch in the</w:t>
      </w:r>
      <w:r>
        <w:t xml:space="preserve"> </w:t>
      </w:r>
      <w:r>
        <w:t xml:space="preserve">reported accuracy study. It does not guarantee that AGF improves a given</w:t>
      </w:r>
      <w:r>
        <w:t xml:space="preserve"> </w:t>
      </w:r>
      <w:r>
        <w:t xml:space="preserve">target. Negative and inconclusive outcomes are retained in the same tables.</w:t>
      </w:r>
    </w:p>
    <w:p>
      <w:pPr>
        <w:pStyle w:val="BodyText"/>
      </w:pPr>
      <w:r>
        <w:t xml:space="preserve">The gate combines graph and residual projections of a common pre-CLConv</w:t>
      </w:r>
      <w:r>
        <w:t xml:space="preserve"> </w:t>
      </w:r>
      <w:r>
        <w:t xml:space="preserve">input. Neither its learned edges nor its scalar coefficients are identified</w:t>
      </w:r>
      <w:r>
        <w:t xml:space="preserve"> </w:t>
      </w:r>
      <w:r>
        <w:t xml:space="preserve">as meteorological teleconnections, moisture transport or causal contribution.</w:t>
      </w:r>
      <w:r>
        <w:t xml:space="preserve"> </w:t>
      </w:r>
      <w:r>
        <w:t xml:space="preserve">The component comparison is precision matched, but only three seeds and two</w:t>
      </w:r>
      <w:r>
        <w:t xml:space="preserve"> </w:t>
      </w:r>
      <w:r>
        <w:t xml:space="preserve">tasks are available for the mean-fusion ablation. Missing-input diagnostics</w:t>
      </w:r>
      <w:r>
        <w:t xml:space="preserve"> </w:t>
      </w:r>
      <w:r>
        <w:t xml:space="preserve">use a sampled test subset and should not be generalized to other types of</w:t>
      </w:r>
      <w:r>
        <w:t xml:space="preserve"> </w:t>
      </w:r>
      <w:r>
        <w:t xml:space="preserve">missingness. No new season-stratified experiment is claimed.</w:t>
      </w:r>
    </w:p>
    <w:p>
      <w:pPr>
        <w:pStyle w:val="BodyText"/>
      </w:pPr>
      <w:r>
        <w:t xml:space="preserve">Five independently initialized runs per variant on one chronological split</w:t>
      </w:r>
      <w:r>
        <w:t xml:space="preserve"> </w:t>
      </w:r>
      <w:r>
        <w:t xml:space="preserve">give limited precision and no uncertainty assessment across different climate</w:t>
      </w:r>
      <w:r>
        <w:t xml:space="preserve"> </w:t>
      </w:r>
      <w:r>
        <w:t xml:space="preserve">periods. These seed-level intervals do not treat individual correlated grid points or forecast hours as independent experimental replicates. The fixed test split was used in earlier development and revision work; the new seeds therefore do not constitute an evaluation on a newly reserved test period. The coarse grid, separate task targets and 12-hour horizon remain</w:t>
      </w:r>
      <w:r>
        <w:t xml:space="preserve"> </w:t>
      </w:r>
      <w:r>
        <w:t xml:space="preserve">distinct from modern multivariate medium-range forecasting. Contemporary</w:t>
      </w:r>
      <w:r>
        <w:t xml:space="preserve"> </w:t>
      </w:r>
      <w:r>
        <w:t xml:space="preserve">models require harmonized data, compute and verification before a direct</w:t>
      </w:r>
      <w:r>
        <w:t xml:space="preserve"> </w:t>
      </w:r>
      <w:r>
        <w:t xml:space="preserve">accuracy ranking is meaningful. Dense graph construction limits scaling,</w:t>
      </w:r>
      <w:r>
        <w:t xml:space="preserve"> </w:t>
      </w:r>
      <w:r>
        <w:t xml:space="preserve">and the historical-weight microbenchmark is not a new-weight runtime study.</w:t>
      </w:r>
    </w:p>
    <w:bookmarkEnd w:id="49"/>
    <w:bookmarkStart w:id="50" w:name="sec:conclusion"/>
    <w:p>
      <w:pPr>
        <w:pStyle w:val="Heading1"/>
        <w:keepNext/>
      </w:pPr>
      <w:r>
        <w:rPr>
          <w:rStyle w:val="SectionNumber"/>
        </w:rPr>
        <w:t xml:space="preserve">5</w:t>
      </w:r>
      <w:r>
        <w:tab/>
      </w:r>
      <w:r>
        <w:t xml:space="preserve">Conclusion</w:t>
      </w:r>
    </w:p>
    <w:p>
      <w:pPr>
        <w:pStyle w:val="FirstParagraph"/>
      </w:pPr>
      <w:r>
        <w:t xml:space="preserve">In this controlled experiment, AGF lowers relative-humidity MAE and RMSE by 2.38% and 3.29%, respectively, with both comparisons meeting the eight-test BH threshold. No difference is established for the other six primary comparisons. The result is a task-specific finding about training-seed variability on the existing chronological split.</w:t>
      </w:r>
      <w:r>
        <w:t xml:space="preserve"> </w:t>
      </w:r>
      <w:r>
        <w:t xml:space="preserve">The completed 40-run primary study and six precision-matched ablations provide a traceable test of an incremental AGF input augmentation. The revised claims follow the observed effects, marginal uncertainty intervals and multiplicity-adjusted tests; they do not assert architectural priority for the individual AGF ingredients or parity with global weather models.</w:t>
      </w:r>
    </w:p>
    <w:bookmarkEnd w:id="50"/>
    <w:bookmarkStart w:id="51" w:name="funding"/>
    <w:p>
      <w:pPr>
        <w:pStyle w:val="Heading1"/>
        <w:keepNext/>
      </w:pPr>
      <w:r>
        <w:rPr>
          <w:rStyle w:val="SectionNumber"/>
        </w:rPr>
        <w:t xml:space="preserve">6</w:t>
      </w:r>
      <w:r>
        <w:tab/>
      </w: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51"/>
    <w:bookmarkStart w:id="52" w:name="author-contributions"/>
    <w:p>
      <w:pPr>
        <w:pStyle w:val="Heading1"/>
        <w:keepNext/>
      </w:pPr>
      <w:r>
        <w:rPr>
          <w:rStyle w:val="SectionNumber"/>
        </w:rPr>
        <w:t xml:space="preserve">7</w:t>
      </w:r>
      <w:r>
        <w:tab/>
      </w:r>
      <w:r>
        <w:t xml:space="preserve">Author Contributions</w:t>
      </w:r>
    </w:p>
    <w:p>
      <w:pPr>
        <w:pStyle w:val="FirstParagraph"/>
      </w:pPr>
      <w:r>
        <w:t xml:space="preserve">Xinchen Geng conceived the extension, implemented the software, conducted</w:t>
      </w:r>
      <w:r>
        <w:t xml:space="preserve"> </w:t>
      </w:r>
      <w:r>
        <w:t xml:space="preserve">the experiments and analysis, prepared the visualizations, and drafted,</w:t>
      </w:r>
      <w:r>
        <w:t xml:space="preserve"> </w:t>
      </w:r>
      <w:r>
        <w:t xml:space="preserve">reviewed and revised the manuscript.</w:t>
      </w:r>
    </w:p>
    <w:bookmarkEnd w:id="52"/>
    <w:bookmarkStart w:id="58" w:name="data-availability"/>
    <w:p>
      <w:pPr>
        <w:pStyle w:val="Heading1"/>
        <w:keepNext/>
      </w:pPr>
      <w:r>
        <w:rPr>
          <w:rStyle w:val="SectionNumber"/>
        </w:rPr>
        <w:t xml:space="preserve">8</w:t>
      </w:r>
      <w:r>
        <w:tab/>
      </w:r>
      <w:r>
        <w:t xml:space="preserve">Data Availability</w:t>
      </w:r>
    </w:p>
    <w:p>
      <w:pPr>
        <w:pStyle w:val="FirstParagraph"/>
      </w:pPr>
      <w:r>
        <w:t xml:space="preserve">The ERA5-derived WeatherBench data are available from</w:t>
      </w:r>
      <w:r>
        <w:t xml:space="preserve"> </w:t>
      </w:r>
      <w:hyperlink r:id="rId53">
        <w:r>
          <w:rPr>
            <w:rStyle w:val="Hyperlink"/>
          </w:rPr>
          <w:t xml:space="preserve">https://mediatum.ub.tum.de/1524895</w:t>
        </w:r>
      </w:hyperlink>
      <w:r>
        <w:t xml:space="preserve">; underlying ERA5 data are available</w:t>
      </w:r>
      <w:r>
        <w:t xml:space="preserve"> </w:t>
      </w:r>
      <w:r>
        <w:t xml:space="preserve">through</w:t>
      </w:r>
      <w:r>
        <w:t xml:space="preserve"> </w:t>
      </w:r>
      <w:hyperlink r:id="rId54">
        <w:r>
          <w:rPr>
            <w:rStyle w:val="Hyperlink"/>
          </w:rPr>
          <w:t xml:space="preserve">https://cds.climate.copernicus.eu/</w:t>
        </w:r>
      </w:hyperlink>
      <w:r>
        <w:t xml:space="preserve">. The original CLCRN</w:t>
      </w:r>
      <w:r>
        <w:t xml:space="preserve"> </w:t>
      </w:r>
      <w:r>
        <w:t xml:space="preserve">preprocessed-data link is documented at</w:t>
      </w:r>
      <w:r>
        <w:t xml:space="preserve"> </w:t>
      </w:r>
      <w:hyperlink r:id="rId55">
        <w:r>
          <w:rPr>
            <w:rStyle w:val="Hyperlink"/>
          </w:rPr>
          <w:t xml:space="preserve">https://github.com/EDAPINENUT/CLCRN</w:t>
        </w:r>
      </w:hyperlink>
      <w:r>
        <w:t xml:space="preserve">. Third-party weather arrays are</w:t>
      </w:r>
      <w:r>
        <w:t xml:space="preserve"> </w:t>
      </w:r>
      <w:r>
        <w:t xml:space="preserve">not duplicated in full in the revision package. A standardized 32-window temperature batch is retained under</w:t>
      </w:r>
      <w:r>
        <w:t xml:space="preserve"> </w:t>
      </w:r>
      <w:r>
        <w:rPr>
          <w:rStyle w:val="VerbatimChar"/>
        </w:rPr>
        <w:t xml:space="preserve">historical_context</w:t>
      </w:r>
      <w:r>
        <w:t xml:space="preserve"> </w:t>
      </w:r>
      <w:r>
        <w:t xml:space="preserve">solely for the separately labelled historical inference microbenchmark.</w:t>
      </w:r>
      <w:r>
        <w:t xml:space="preserve"> </w:t>
      </w:r>
      <w:r>
        <w:t xml:space="preserve">The supplementary analysis files</w:t>
      </w:r>
      <w:r>
        <w:t xml:space="preserve"> </w:t>
      </w:r>
      <w:r>
        <w:t xml:space="preserve">contain the primary seed-level metrics, checkpoint provenance, refreshed</w:t>
      </w:r>
      <w:r>
        <w:t xml:space="preserve"> </w:t>
      </w:r>
      <w:r>
        <w:t xml:space="preserve">figure data, and validation records. The earlier public archive at</w:t>
      </w:r>
      <w:r>
        <w:t xml:space="preserve"> </w:t>
      </w:r>
      <w:hyperlink r:id="rId56">
        <w:r>
          <w:rPr>
            <w:rStyle w:val="Hyperlink"/>
          </w:rPr>
          <w:t xml:space="preserve">https://github.com/gengx-prog/CLCRN-AGF-Scientific-Reports/releases/tag/v0.1-review</w:t>
        </w:r>
      </w:hyperlink>
      <w:r>
        <w:t xml:space="preserve"> </w:t>
      </w:r>
      <w:r>
        <w:t xml:space="preserve">is a historical release; it should not be assumed to contain the software</w:t>
      </w:r>
      <w:r>
        <w:t xml:space="preserve"> </w:t>
      </w:r>
      <w:r>
        <w:t xml:space="preserve">and figures supplied with this revision. The new seed-level results and revised analysis are provided in the dated release</w:t>
      </w:r>
      <w:r>
        <w:t xml:space="preserve"> </w:t>
      </w:r>
      <w:hyperlink r:id="rId57">
        <w:r>
          <w:rPr>
            <w:rStyle w:val="Hyperlink"/>
          </w:rPr>
          <w:t xml:space="preserve">https://github.com/gengx-prog/CLCRN-AGF-Scientific-Reports/releases/tag/v0.2-retraining-20261008</w:t>
        </w:r>
      </w:hyperlink>
      <w:r>
        <w:t xml:space="preserve">.</w:t>
      </w:r>
    </w:p>
    <w:bookmarkEnd w:id="58"/>
    <w:bookmarkStart w:id="60" w:name="code-availability"/>
    <w:p>
      <w:pPr>
        <w:pStyle w:val="Heading1"/>
        <w:keepNext/>
      </w:pPr>
      <w:r>
        <w:rPr>
          <w:rStyle w:val="SectionNumber"/>
        </w:rPr>
        <w:t xml:space="preserve">9</w:t>
      </w:r>
      <w:r>
        <w:tab/>
      </w:r>
      <w:r>
        <w:t xml:space="preserve">Code Availability</w:t>
      </w:r>
    </w:p>
    <w:p>
      <w:pPr>
        <w:pStyle w:val="FirstParagraph"/>
      </w:pPr>
      <w:r>
        <w:t xml:space="preserve">The accompanying review package contains frozen training and analysis sources,</w:t>
      </w:r>
      <w:r>
        <w:t xml:space="preserve"> </w:t>
      </w:r>
      <w:r>
        <w:t xml:space="preserve">the fixed 46-run plan, configurations, dependency and environment records,</w:t>
      </w:r>
      <w:r>
        <w:t xml:space="preserve"> </w:t>
      </w:r>
      <w:r>
        <w:t xml:space="preserve">seed-level metrics, and scripts to regenerate the tables and figures. It</w:t>
      </w:r>
      <w:r>
        <w:t xml:space="preserve"> </w:t>
      </w:r>
      <w:r>
        <w:t xml:space="preserve">includes one validation-selected checkpoint for each of the 46 runs, together</w:t>
      </w:r>
      <w:r>
        <w:t xml:space="preserve"> </w:t>
      </w:r>
      <w:r>
        <w:t xml:space="preserve">with the complete 100-epoch training histories, run summaries, model</w:t>
      </w:r>
      <w:r>
        <w:t xml:space="preserve"> </w:t>
      </w:r>
      <w:r>
        <w:t xml:space="preserve">configurations and checkpoint hashes. These selected checkpoints support</w:t>
      </w:r>
      <w:r>
        <w:t xml:space="preserve"> </w:t>
      </w:r>
      <w:r>
        <w:t xml:space="preserve">re-evaluation; the package does not contain all 4,600 epoch checkpoints.</w:t>
      </w:r>
      <w:r>
        <w:t xml:space="preserve"> </w:t>
      </w:r>
      <w:r>
        <w:t xml:space="preserve">The full epoch archives remain in the local experiment directory. Recovery</w:t>
      </w:r>
      <w:r>
        <w:t xml:space="preserve"> </w:t>
      </w:r>
      <w:r>
        <w:t xml:space="preserve">states stored in a selected checkpoint pertain to its selected epoch, not</w:t>
      </w:r>
      <w:r>
        <w:t xml:space="preserve"> </w:t>
      </w:r>
      <w:r>
        <w:t xml:space="preserve">necessarily epoch 100. Third-party weather arrays must be obtained from the</w:t>
      </w:r>
      <w:r>
        <w:t xml:space="preserve"> </w:t>
      </w:r>
      <w:r>
        <w:t xml:space="preserve">cited sources and are not included in full.</w:t>
      </w:r>
      <w:r>
        <w:t xml:space="preserve"> </w:t>
      </w:r>
      <w:r>
        <w:t xml:space="preserve">The existing public repository is</w:t>
      </w:r>
      <w:r>
        <w:t xml:space="preserve"> </w:t>
      </w:r>
      <w:hyperlink r:id="rId59">
        <w:r>
          <w:rPr>
            <w:rStyle w:val="Hyperlink"/>
          </w:rPr>
          <w:t xml:space="preserve">https://github.com/gengx-prog/CLCRN-AGF-Scientific-Reports</w:t>
        </w:r>
      </w:hyperlink>
      <w:r>
        <w:t xml:space="preserve">.</w:t>
      </w:r>
      <w:r>
        <w:t xml:space="preserve"> </w:t>
      </w:r>
      <w:r>
        <w:t xml:space="preserve">The new training results, revised software and selected checkpoints are</w:t>
      </w:r>
      <w:r>
        <w:t xml:space="preserve"> </w:t>
      </w:r>
      <w:r>
        <w:t xml:space="preserve">provided in release</w:t>
      </w:r>
      <w:r>
        <w:t xml:space="preserve"> </w:t>
      </w:r>
      <w:r>
        <w:rPr>
          <w:rStyle w:val="VerbatimChar"/>
        </w:rPr>
        <w:t xml:space="preserve">v0.2-retraining-20261008</w:t>
      </w:r>
      <w:r>
        <w:t xml:space="preserve"> </w:t>
      </w:r>
      <w:r>
        <w:t xml:space="preserve">(8 October 2026):</w:t>
      </w:r>
      <w:r>
        <w:t xml:space="preserve"> </w:t>
      </w:r>
      <w:hyperlink r:id="rId57">
        <w:r>
          <w:rPr>
            <w:rStyle w:val="Hyperlink"/>
          </w:rPr>
          <w:t xml:space="preserve">https://github.com/gengx-prog/CLCRN-AGF-Scientific-Reports/releases/tag/v0.2-retraining-20261008</w:t>
        </w:r>
      </w:hyperlink>
      <w:r>
        <w:t xml:space="preserve">.</w:t>
      </w:r>
    </w:p>
    <w:bookmarkEnd w:id="60"/>
    <w:bookmarkStart w:id="61" w:name="competing-interests"/>
    <w:p>
      <w:pPr>
        <w:pStyle w:val="Heading1"/>
        <w:keepNext/>
      </w:pPr>
      <w:r>
        <w:rPr>
          <w:rStyle w:val="SectionNumber"/>
        </w:rPr>
        <w:t xml:space="preserve">10</w:t>
      </w:r>
      <w:r>
        <w:tab/>
      </w:r>
      <w:r>
        <w:t xml:space="preserve">Competing Interests</w:t>
      </w:r>
    </w:p>
    <w:p>
      <w:pPr>
        <w:pStyle w:val="FirstParagraph"/>
      </w:pPr>
      <w:r>
        <w:t xml:space="preserve">The author declares no competing interests.</w:t>
      </w:r>
    </w:p>
    <w:bookmarkEnd w:id="61"/>
    <w:bookmarkStart w:id="62" w:name="X7736d2a930a993208ce56131c671e3565f8572f"/>
    <w:p>
      <w:pPr>
        <w:pStyle w:val="Heading1"/>
        <w:keepNext/>
      </w:pPr>
      <w:r>
        <w:rPr>
          <w:rStyle w:val="SectionNumber"/>
        </w:rPr>
        <w:t xml:space="preserve">11</w:t>
      </w:r>
      <w:r>
        <w:tab/>
      </w:r>
      <w:r>
        <w:t xml:space="preserve">Generative AI and AI-Assisted Technologies Disclosure</w:t>
      </w:r>
    </w:p>
    <w:p>
      <w:pPr>
        <w:pStyle w:val="FirstParagraph"/>
      </w:pPr>
      <w:r>
        <w:t xml:space="preserve">During preparation of this revision, the author used AI tools for language</w:t>
      </w:r>
      <w:r>
        <w:t xml:space="preserve"> </w:t>
      </w:r>
      <w:r>
        <w:t xml:space="preserve">editing and assistance with code review, analysis scripting, and figure</w:t>
      </w:r>
      <w:r>
        <w:t xml:space="preserve"> </w:t>
      </w:r>
      <w:r>
        <w:t xml:space="preserve">preparation. These tools assisted preparation of the materials; scientific interpretation and responsibility for the manuscript rest with the author.</w:t>
      </w:r>
    </w:p>
    <w:bookmarkEnd w:id="62"/>
    <w:bookmarkStart w:id="68" w:name="references"/>
    <w:p>
      <w:pPr>
        <w:pStyle w:val="Heading1"/>
        <w:keepNext/>
      </w:pPr>
      <w:r>
        <w:t xml:space="preserve">References</w:t>
      </w:r>
    </w:p>
    <w:p>
      <w:pPr>
        <w:pStyle w:val="FirstParagraph"/>
      </w:pPr>
      <w:r>
        <w:rPr>
          <w:b/>
          <w:bCs/>
        </w:rPr>
        <w:t xml:space="preserve">[1]</w:t>
      </w:r>
      <w:r>
        <w:t xml:space="preserve"> </w:t>
      </w:r>
      <w:r>
        <w:t xml:space="preserve">Bauer, P., Thorpe, A. &amp; Brunet, G. The quiet revolution of numerical</w:t>
      </w:r>
      <w:r>
        <w:t xml:space="preserve"> </w:t>
      </w:r>
      <w:r>
        <w:t xml:space="preserve">weather prediction.</w:t>
      </w:r>
      <w:r>
        <w:t xml:space="preserve"> </w:t>
      </w:r>
      <w:r>
        <w:rPr>
          <w:i/>
          <w:iCs/>
        </w:rPr>
        <w:t xml:space="preserve">Nature</w:t>
      </w:r>
      <w:r>
        <w:t xml:space="preserve"> </w:t>
      </w:r>
      <w:r>
        <w:rPr>
          <w:b/>
          <w:bCs/>
        </w:rPr>
        <w:t xml:space="preserve">525,</w:t>
      </w:r>
      <w:r>
        <w:t xml:space="preserve"> </w:t>
      </w:r>
      <w:r>
        <w:t xml:space="preserve">47–55 (2015).</w:t>
      </w:r>
    </w:p>
    <w:p>
      <w:pPr>
        <w:pStyle w:val="BodyText"/>
      </w:pPr>
      <w:r>
        <w:rPr>
          <w:b/>
          <w:bCs/>
        </w:rPr>
        <w:t xml:space="preserve">[2]</w:t>
      </w:r>
      <w:r>
        <w:t xml:space="preserve"> </w:t>
      </w:r>
      <w:r>
        <w:t xml:space="preserve">Rasp, S. et al. WeatherBench: A benchmark data set for data-driven weather</w:t>
      </w:r>
      <w:r>
        <w:t xml:space="preserve"> </w:t>
      </w:r>
      <w:r>
        <w:t xml:space="preserve">forecasting.</w:t>
      </w:r>
      <w:r>
        <w:t xml:space="preserve"> </w:t>
      </w:r>
      <w:r>
        <w:rPr>
          <w:i/>
          <w:iCs/>
        </w:rPr>
        <w:t xml:space="preserve">J. Adv. Model. Earth Syst.</w:t>
      </w:r>
      <w:r>
        <w:t xml:space="preserve"> </w:t>
      </w:r>
      <w:r>
        <w:rPr>
          <w:b/>
          <w:bCs/>
        </w:rPr>
        <w:t xml:space="preserve">12,</w:t>
      </w:r>
      <w:r>
        <w:t xml:space="preserve"> </w:t>
      </w:r>
      <w:r>
        <w:t xml:space="preserve">e2020MS002203 (2020).</w:t>
      </w:r>
    </w:p>
    <w:p>
      <w:pPr>
        <w:pStyle w:val="BodyText"/>
      </w:pPr>
      <w:r>
        <w:rPr>
          <w:b/>
          <w:bCs/>
        </w:rPr>
        <w:t xml:space="preserve">[3]</w:t>
      </w:r>
      <w:r>
        <w:t xml:space="preserve"> </w:t>
      </w:r>
      <w:r>
        <w:t xml:space="preserve">Hersbach, H. et al. The ERA5 global reanalysis.</w:t>
      </w:r>
      <w:r>
        <w:t xml:space="preserve"> </w:t>
      </w:r>
      <w:r>
        <w:rPr>
          <w:i/>
          <w:iCs/>
        </w:rPr>
        <w:t xml:space="preserve">Q. J. R. Meteorol.</w:t>
      </w:r>
      <w:r>
        <w:rPr>
          <w:i/>
          <w:iCs/>
        </w:rPr>
        <w:t xml:space="preserve"> </w:t>
      </w:r>
      <w:r>
        <w:rPr>
          <w:i/>
          <w:iCs/>
        </w:rPr>
        <w:t xml:space="preserve">Soc.</w:t>
      </w:r>
      <w:r>
        <w:t xml:space="preserve"> </w:t>
      </w:r>
      <w:r>
        <w:rPr>
          <w:b/>
          <w:bCs/>
        </w:rPr>
        <w:t xml:space="preserve">146,</w:t>
      </w:r>
      <w:r>
        <w:t xml:space="preserve"> </w:t>
      </w:r>
      <w:r>
        <w:t xml:space="preserve">1999–2049 (2020).</w:t>
      </w:r>
    </w:p>
    <w:p>
      <w:pPr>
        <w:pStyle w:val="BodyText"/>
      </w:pPr>
      <w:r>
        <w:rPr>
          <w:b/>
          <w:bCs/>
        </w:rPr>
        <w:t xml:space="preserve">[4]</w:t>
      </w:r>
      <w:r>
        <w:t xml:space="preserve"> </w:t>
      </w:r>
      <w:r>
        <w:t xml:space="preserve">Pathak, J. et al. FourCastNet: A global data-driven high-resolution weather</w:t>
      </w:r>
      <w:r>
        <w:t xml:space="preserve"> </w:t>
      </w:r>
      <w:r>
        <w:t xml:space="preserve">model using adaptive Fourier neural operators. Preprint at</w:t>
      </w:r>
      <w:r>
        <w:t xml:space="preserve"> </w:t>
      </w:r>
      <w:r>
        <w:t xml:space="preserve">https://arxiv.org/abs/2202.11214 (2022).</w:t>
      </w:r>
    </w:p>
    <w:p>
      <w:pPr>
        <w:pStyle w:val="BodyText"/>
      </w:pPr>
      <w:r>
        <w:rPr>
          <w:b/>
          <w:bCs/>
        </w:rPr>
        <w:t xml:space="preserve">[5]</w:t>
      </w:r>
      <w:r>
        <w:t xml:space="preserve"> </w:t>
      </w:r>
      <w:r>
        <w:t xml:space="preserve">Bi, K. et al. Accurate medium-range global weather forecasting with 3D</w:t>
      </w:r>
      <w:r>
        <w:t xml:space="preserve"> </w:t>
      </w:r>
      <w:r>
        <w:t xml:space="preserve">neural networks.</w:t>
      </w:r>
      <w:r>
        <w:t xml:space="preserve"> </w:t>
      </w:r>
      <w:r>
        <w:rPr>
          <w:i/>
          <w:iCs/>
        </w:rPr>
        <w:t xml:space="preserve">Nature</w:t>
      </w:r>
      <w:r>
        <w:t xml:space="preserve"> </w:t>
      </w:r>
      <w:r>
        <w:rPr>
          <w:b/>
          <w:bCs/>
        </w:rPr>
        <w:t xml:space="preserve">619,</w:t>
      </w:r>
      <w:r>
        <w:t xml:space="preserve"> </w:t>
      </w:r>
      <w:r>
        <w:t xml:space="preserve">533–538 (2023).</w:t>
      </w:r>
    </w:p>
    <w:p>
      <w:pPr>
        <w:pStyle w:val="BodyText"/>
      </w:pPr>
      <w:r>
        <w:rPr>
          <w:b/>
          <w:bCs/>
        </w:rPr>
        <w:t xml:space="preserve">[6]</w:t>
      </w:r>
      <w:r>
        <w:t xml:space="preserve"> </w:t>
      </w:r>
      <w:r>
        <w:t xml:space="preserve">Lam, R. et al. Learning skillful medium-range global weather forecasting.</w:t>
      </w:r>
      <w:r>
        <w:t xml:space="preserve"> </w:t>
      </w:r>
      <w:r>
        <w:rPr>
          <w:i/>
          <w:iCs/>
        </w:rPr>
        <w:t xml:space="preserve">Science</w:t>
      </w:r>
      <w:r>
        <w:t xml:space="preserve"> </w:t>
      </w:r>
      <w:r>
        <w:rPr>
          <w:b/>
          <w:bCs/>
        </w:rPr>
        <w:t xml:space="preserve">382,</w:t>
      </w:r>
      <w:r>
        <w:t xml:space="preserve"> </w:t>
      </w:r>
      <w:r>
        <w:t xml:space="preserve">1416–1421 (2023).</w:t>
      </w:r>
    </w:p>
    <w:p>
      <w:pPr>
        <w:pStyle w:val="BodyText"/>
      </w:pPr>
      <w:r>
        <w:rPr>
          <w:b/>
          <w:bCs/>
        </w:rPr>
        <w:t xml:space="preserve">[7]</w:t>
      </w:r>
      <w:r>
        <w:t xml:space="preserve"> </w:t>
      </w:r>
      <w:r>
        <w:t xml:space="preserve">Price, I. et al. Probabilistic weather forecasting with machine learning.</w:t>
      </w:r>
      <w:r>
        <w:t xml:space="preserve"> </w:t>
      </w:r>
      <w:r>
        <w:rPr>
          <w:i/>
          <w:iCs/>
        </w:rPr>
        <w:t xml:space="preserve">Nature</w:t>
      </w:r>
      <w:r>
        <w:t xml:space="preserve"> </w:t>
      </w:r>
      <w:r>
        <w:rPr>
          <w:b/>
          <w:bCs/>
        </w:rPr>
        <w:t xml:space="preserve">637,</w:t>
      </w:r>
      <w:r>
        <w:t xml:space="preserve"> </w:t>
      </w:r>
      <w:r>
        <w:t xml:space="preserve">84–90 (2025).</w:t>
      </w:r>
    </w:p>
    <w:p>
      <w:pPr>
        <w:pStyle w:val="BodyText"/>
      </w:pPr>
      <w:r>
        <w:rPr>
          <w:b/>
          <w:bCs/>
        </w:rPr>
        <w:t xml:space="preserve">[8]</w:t>
      </w:r>
      <w:r>
        <w:t xml:space="preserve"> </w:t>
      </w:r>
      <w:r>
        <w:t xml:space="preserve">Lin, H. et al. Conditional local convolution for spatio-temporal</w:t>
      </w:r>
      <w:r>
        <w:t xml:space="preserve"> </w:t>
      </w:r>
      <w:r>
        <w:t xml:space="preserve">meteorological forecasting.</w:t>
      </w:r>
      <w:r>
        <w:t xml:space="preserve"> </w:t>
      </w:r>
      <w:r>
        <w:rPr>
          <w:i/>
          <w:iCs/>
        </w:rPr>
        <w:t xml:space="preserve">Proc. AAAI Conf. Artif. Intell.</w:t>
      </w:r>
      <w:r>
        <w:t xml:space="preserve"> </w:t>
      </w:r>
      <w:r>
        <w:rPr>
          <w:b/>
          <w:bCs/>
        </w:rPr>
        <w:t xml:space="preserve">36,</w:t>
      </w:r>
      <w:r>
        <w:t xml:space="preserve"> </w:t>
      </w:r>
      <w:r>
        <w:t xml:space="preserve">7470–7478 (2022).</w:t>
      </w:r>
      <w:r>
        <w:t xml:space="preserve"> </w:t>
      </w:r>
      <w:hyperlink r:id="rId63">
        <w:r>
          <w:rPr>
            <w:rStyle w:val="Hyperlink"/>
          </w:rPr>
          <w:t xml:space="preserve">https://doi.org/10.1609/aaai.v36i7.20711</w:t>
        </w:r>
      </w:hyperlink>
      <w:r>
        <w:t xml:space="preserve">.</w:t>
      </w:r>
    </w:p>
    <w:p>
      <w:pPr>
        <w:pStyle w:val="BodyText"/>
      </w:pPr>
      <w:r>
        <w:rPr>
          <w:b/>
          <w:bCs/>
        </w:rPr>
        <w:t xml:space="preserve">[9]</w:t>
      </w:r>
      <w:r>
        <w:t xml:space="preserve"> </w:t>
      </w:r>
      <w:r>
        <w:t xml:space="preserve">Li, Y., Yu, R., Shahabi, C. &amp; Liu, Y. Diffusion convolutional recurrent</w:t>
      </w:r>
      <w:r>
        <w:t xml:space="preserve"> </w:t>
      </w:r>
      <w:r>
        <w:t xml:space="preserve">neural network: Data-driven traffic forecasting. In</w:t>
      </w:r>
      <w:r>
        <w:t xml:space="preserve"> </w:t>
      </w:r>
      <w:r>
        <w:rPr>
          <w:i/>
          <w:iCs/>
        </w:rPr>
        <w:t xml:space="preserve">ICLR</w:t>
      </w:r>
      <w:r>
        <w:t xml:space="preserve"> </w:t>
      </w:r>
      <w:r>
        <w:t xml:space="preserve">(2018).</w:t>
      </w:r>
    </w:p>
    <w:p>
      <w:pPr>
        <w:pStyle w:val="BodyText"/>
      </w:pPr>
      <w:r>
        <w:rPr>
          <w:b/>
          <w:bCs/>
        </w:rPr>
        <w:t xml:space="preserve">[10]</w:t>
      </w:r>
      <w:r>
        <w:t xml:space="preserve"> </w:t>
      </w:r>
      <w:r>
        <w:t xml:space="preserve">Yu, B., Yin, H. &amp; Zhu, Z. Spatio-temporal graph convolutional networks: A</w:t>
      </w:r>
      <w:r>
        <w:t xml:space="preserve"> </w:t>
      </w:r>
      <w:r>
        <w:t xml:space="preserve">deep learning framework for traffic forecasting. In</w:t>
      </w:r>
      <w:r>
        <w:t xml:space="preserve"> </w:t>
      </w:r>
      <w:r>
        <w:rPr>
          <w:i/>
          <w:iCs/>
        </w:rPr>
        <w:t xml:space="preserve">IJCAI</w:t>
      </w:r>
      <w:r>
        <w:t xml:space="preserve"> </w:t>
      </w:r>
      <w:r>
        <w:t xml:space="preserve">3634–3640 (2018).</w:t>
      </w:r>
    </w:p>
    <w:p>
      <w:pPr>
        <w:pStyle w:val="BodyText"/>
      </w:pPr>
      <w:r>
        <w:rPr>
          <w:b/>
          <w:bCs/>
        </w:rPr>
        <w:t xml:space="preserve">[11]</w:t>
      </w:r>
      <w:r>
        <w:t xml:space="preserve"> </w:t>
      </w:r>
      <w:r>
        <w:t xml:space="preserve">Wu, Z., Pan, S., Long, G., Jiang, J. &amp; Zhang, C. Graph WaveNet for deep</w:t>
      </w:r>
      <w:r>
        <w:t xml:space="preserve"> </w:t>
      </w:r>
      <w:r>
        <w:t xml:space="preserve">spatial-temporal graph modeling. In</w:t>
      </w:r>
      <w:r>
        <w:t xml:space="preserve"> </w:t>
      </w:r>
      <w:r>
        <w:rPr>
          <w:i/>
          <w:iCs/>
        </w:rPr>
        <w:t xml:space="preserve">IJCAI</w:t>
      </w:r>
      <w:r>
        <w:t xml:space="preserve"> </w:t>
      </w:r>
      <w:r>
        <w:t xml:space="preserve">1907–1913 (2019).</w:t>
      </w:r>
    </w:p>
    <w:p>
      <w:pPr>
        <w:pStyle w:val="BodyText"/>
      </w:pPr>
      <w:r>
        <w:rPr>
          <w:b/>
          <w:bCs/>
        </w:rPr>
        <w:t xml:space="preserve">[12]</w:t>
      </w:r>
      <w:r>
        <w:t xml:space="preserve"> </w:t>
      </w:r>
      <w:r>
        <w:t xml:space="preserve">Bai, L., Yao, L., Li, C., Wang, X. &amp; Wang, C. Adaptive graph</w:t>
      </w:r>
      <w:r>
        <w:t xml:space="preserve"> </w:t>
      </w:r>
      <w:r>
        <w:t xml:space="preserve">convolutional recurrent network for traffic forecasting. In</w:t>
      </w:r>
      <w:r>
        <w:t xml:space="preserve"> </w:t>
      </w:r>
      <w:r>
        <w:rPr>
          <w:i/>
          <w:iCs/>
        </w:rPr>
        <w:t xml:space="preserve">NeurIPS</w:t>
      </w:r>
      <w:r>
        <w:t xml:space="preserve"> </w:t>
      </w:r>
      <w:r>
        <w:t xml:space="preserve">17804–17815 (2020).</w:t>
      </w:r>
    </w:p>
    <w:p>
      <w:pPr>
        <w:pStyle w:val="BodyText"/>
      </w:pPr>
      <w:r>
        <w:rPr>
          <w:b/>
          <w:bCs/>
        </w:rPr>
        <w:t xml:space="preserve">[13]</w:t>
      </w:r>
      <w:r>
        <w:t xml:space="preserve"> </w:t>
      </w:r>
      <w:r>
        <w:t xml:space="preserve">Shang, C., Chen, J. &amp; Bi, J. Discrete graph structure learning for</w:t>
      </w:r>
      <w:r>
        <w:t xml:space="preserve"> </w:t>
      </w:r>
      <w:r>
        <w:t xml:space="preserve">forecasting multiple time series. In</w:t>
      </w:r>
      <w:r>
        <w:t xml:space="preserve"> </w:t>
      </w:r>
      <w:r>
        <w:rPr>
          <w:i/>
          <w:iCs/>
        </w:rPr>
        <w:t xml:space="preserve">ICLR</w:t>
      </w:r>
      <w:r>
        <w:t xml:space="preserve"> </w:t>
      </w:r>
      <w:r>
        <w:t xml:space="preserve">(2021).</w:t>
      </w:r>
    </w:p>
    <w:p>
      <w:pPr>
        <w:pStyle w:val="BodyText"/>
      </w:pPr>
      <w:r>
        <w:rPr>
          <w:b/>
          <w:bCs/>
        </w:rPr>
        <w:t xml:space="preserve">[14]</w:t>
      </w:r>
      <w:r>
        <w:t xml:space="preserve"> </w:t>
      </w:r>
      <w:r>
        <w:t xml:space="preserve">Liu, H. et al. Spatio-temporal adaptive embedding makes vanilla</w:t>
      </w:r>
      <w:r>
        <w:t xml:space="preserve"> </w:t>
      </w:r>
      <w:r>
        <w:t xml:space="preserve">transformer SOTA for traffic forecasting. In</w:t>
      </w:r>
      <w:r>
        <w:t xml:space="preserve"> </w:t>
      </w:r>
      <w:r>
        <w:rPr>
          <w:i/>
          <w:iCs/>
        </w:rPr>
        <w:t xml:space="preserve">CIKM</w:t>
      </w:r>
      <w:r>
        <w:t xml:space="preserve"> </w:t>
      </w:r>
      <w:r>
        <w:t xml:space="preserve">4125–4129</w:t>
      </w:r>
      <w:r>
        <w:t xml:space="preserve"> </w:t>
      </w:r>
      <w:r>
        <w:t xml:space="preserve">(2023).</w:t>
      </w:r>
    </w:p>
    <w:p>
      <w:pPr>
        <w:pStyle w:val="BodyText"/>
      </w:pPr>
      <w:r>
        <w:rPr>
          <w:b/>
          <w:bCs/>
        </w:rPr>
        <w:t xml:space="preserve">[15]</w:t>
      </w:r>
      <w:r>
        <w:t xml:space="preserve"> </w:t>
      </w:r>
      <w:r>
        <w:t xml:space="preserve">Vaswani, A. et al. Attention is all you need. In</w:t>
      </w:r>
      <w:r>
        <w:t xml:space="preserve"> </w:t>
      </w:r>
      <w:r>
        <w:rPr>
          <w:i/>
          <w:iCs/>
        </w:rPr>
        <w:t xml:space="preserve">NeurIPS</w:t>
      </w:r>
      <w:r>
        <w:t xml:space="preserve"> </w:t>
      </w:r>
      <w:r>
        <w:t xml:space="preserve">5998–6008 (2017).</w:t>
      </w:r>
    </w:p>
    <w:p>
      <w:pPr>
        <w:pStyle w:val="BodyText"/>
      </w:pPr>
      <w:r>
        <w:rPr>
          <w:b/>
          <w:bCs/>
        </w:rPr>
        <w:t xml:space="preserve">[16]</w:t>
      </w:r>
      <w:r>
        <w:t xml:space="preserve"> </w:t>
      </w:r>
      <w:r>
        <w:t xml:space="preserve">Seo, Y., Defferrard, M., Vandergheynst, P. &amp; Bresson, X. Structured</w:t>
      </w:r>
      <w:r>
        <w:t xml:space="preserve"> </w:t>
      </w:r>
      <w:r>
        <w:t xml:space="preserve">sequence modeling with graph convolutional recurrent networks. In</w:t>
      </w:r>
      <w:r>
        <w:t xml:space="preserve"> </w:t>
      </w:r>
      <w:r>
        <w:rPr>
          <w:i/>
          <w:iCs/>
        </w:rPr>
        <w:t xml:space="preserve">ICONIP</w:t>
      </w:r>
      <w:r>
        <w:t xml:space="preserve"> </w:t>
      </w:r>
      <w:r>
        <w:t xml:space="preserve">362–373 (2018).</w:t>
      </w:r>
    </w:p>
    <w:p>
      <w:pPr>
        <w:pStyle w:val="BodyText"/>
      </w:pPr>
      <w:r>
        <w:rPr>
          <w:b/>
          <w:bCs/>
        </w:rPr>
        <w:t xml:space="preserve">[17]</w:t>
      </w:r>
      <w:r>
        <w:t xml:space="preserve"> </w:t>
      </w:r>
      <w:r>
        <w:t xml:space="preserve">Rasp, S. et al. WeatherNext 3: Increasing resolution and performance of</w:t>
      </w:r>
      <w:r>
        <w:t xml:space="preserve"> </w:t>
      </w:r>
      <w:r>
        <w:t xml:space="preserve">global weather models with raw observations.</w:t>
      </w:r>
      <w:r>
        <w:t xml:space="preserve"> </w:t>
      </w:r>
      <w:r>
        <w:rPr>
          <w:i/>
          <w:iCs/>
        </w:rPr>
        <w:t xml:space="preserve">arXiv preprint</w:t>
      </w:r>
      <w:r>
        <w:t xml:space="preserve"> </w:t>
      </w:r>
      <w:r>
        <w:t xml:space="preserve">arXiv:2609.03582 (2026).</w:t>
      </w:r>
      <w:r>
        <w:t xml:space="preserve"> </w:t>
      </w:r>
      <w:hyperlink r:id="rId64">
        <w:r>
          <w:rPr>
            <w:rStyle w:val="Hyperlink"/>
          </w:rPr>
          <w:t xml:space="preserve">https://doi.org/10.48550/arXiv.2609.03582</w:t>
        </w:r>
      </w:hyperlink>
      <w:r>
        <w:t xml:space="preserve">.</w:t>
      </w:r>
    </w:p>
    <w:p>
      <w:pPr>
        <w:pStyle w:val="BodyText"/>
      </w:pPr>
      <w:r>
        <w:rPr>
          <w:b/>
          <w:bCs/>
        </w:rPr>
        <w:t xml:space="preserve">[18]</w:t>
      </w:r>
      <w:r>
        <w:t xml:space="preserve"> </w:t>
      </w:r>
      <w:r>
        <w:t xml:space="preserve">Google. WeatherNext 3.</w:t>
      </w:r>
      <w:r>
        <w:t xml:space="preserve"> </w:t>
      </w:r>
      <w:r>
        <w:rPr>
          <w:i/>
          <w:iCs/>
        </w:rPr>
        <w:t xml:space="preserve">Google for Developers</w:t>
      </w:r>
      <w:r>
        <w:t xml:space="preserve"> </w:t>
      </w:r>
      <w:hyperlink r:id="rId65">
        <w:r>
          <w:rPr>
            <w:rStyle w:val="Hyperlink"/>
          </w:rPr>
          <w:t xml:space="preserve">https://developers.google.com/weathernext/guides/models</w:t>
        </w:r>
      </w:hyperlink>
      <w:r>
        <w:t xml:space="preserve"> </w:t>
      </w:r>
      <w:r>
        <w:t xml:space="preserve">(updated 28 September 2026; accessed 8 October 2026).</w:t>
      </w:r>
    </w:p>
    <w:p>
      <w:pPr>
        <w:pStyle w:val="BodyText"/>
      </w:pPr>
      <w:r>
        <w:rPr>
          <w:b/>
          <w:bCs/>
        </w:rPr>
        <w:t xml:space="preserve">[19]</w:t>
      </w:r>
      <w:r>
        <w:t xml:space="preserve"> </w:t>
      </w:r>
      <w:r>
        <w:t xml:space="preserve">Bonev, B. et al. FourCastNet 3: A geometric approach to probabilistic</w:t>
      </w:r>
      <w:r>
        <w:t xml:space="preserve"> </w:t>
      </w:r>
      <w:r>
        <w:t xml:space="preserve">machine-learning weather forecasting at scale.</w:t>
      </w:r>
      <w:r>
        <w:t xml:space="preserve"> </w:t>
      </w:r>
      <w:r>
        <w:rPr>
          <w:i/>
          <w:iCs/>
        </w:rPr>
        <w:t xml:space="preserve">arXiv preprint</w:t>
      </w:r>
      <w:r>
        <w:t xml:space="preserve"> </w:t>
      </w:r>
      <w:r>
        <w:t xml:space="preserve">arXiv:2507.12144 (2025).</w:t>
      </w:r>
      <w:r>
        <w:t xml:space="preserve"> </w:t>
      </w:r>
      <w:hyperlink r:id="rId66">
        <w:r>
          <w:rPr>
            <w:rStyle w:val="Hyperlink"/>
          </w:rPr>
          <w:t xml:space="preserve">https://doi.org/10.48550/arXiv.2507.12144</w:t>
        </w:r>
      </w:hyperlink>
      <w:r>
        <w:t xml:space="preserve">.</w:t>
      </w:r>
    </w:p>
    <w:p>
      <w:pPr>
        <w:pStyle w:val="BodyText"/>
      </w:pPr>
      <w:r>
        <w:rPr>
          <w:b/>
          <w:bCs/>
        </w:rPr>
        <w:t xml:space="preserve">[20]</w:t>
      </w:r>
      <w:r>
        <w:t xml:space="preserve"> </w:t>
      </w:r>
      <w:r>
        <w:t xml:space="preserve">Feng, A. &amp; Tassiulas, L. Adaptive graph spatial-temporal transformer</w:t>
      </w:r>
      <w:r>
        <w:t xml:space="preserve"> </w:t>
      </w:r>
      <w:r>
        <w:t xml:space="preserve">network for traffic flow forecasting. Preprint at</w:t>
      </w:r>
      <w:r>
        <w:t xml:space="preserve"> </w:t>
      </w:r>
      <w:hyperlink r:id="rId67">
        <w:r>
          <w:rPr>
            <w:rStyle w:val="Hyperlink"/>
          </w:rPr>
          <w:t xml:space="preserve">https://arxiv.org/abs/2207.05064</w:t>
        </w:r>
      </w:hyperlink>
      <w:r>
        <w:t xml:space="preserve"> </w:t>
      </w:r>
      <w:r>
        <w:t xml:space="preserve">(2022).</w:t>
      </w:r>
    </w:p>
    <w:bookmarkEnd w:id="68"/>
    <w:sectPr>
      <w:footerReference w:type="default" r:id="rId9"/>
      <w:footnotePr>
        <w:numRestart w:val="eachSect"/>
      </w:footnotePr>
      <w:pgMar w:top="1080" w:bottom="1080" w:left="1138" w:right="1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left"/>
    </w:pPr>
  </w:style>
  <w:style w:styleId="BodyText" w:type="paragraph">
    <w:name w:val="Body Text"/>
    <w:basedOn w:val="Normal"/>
    <w:link w:val="BodyTextChar"/>
    <w:qFormat/>
    <w:pPr>
      <w:spacing w:after="180" w:before="180"/>
      <w:jc w:val="left"/>
    </w:pPr>
  </w:style>
  <w:style w:customStyle="1" w:styleId="FirstParagraph" w:type="paragraph">
    <w:name w:val="First Paragraph"/>
    <w:basedOn w:val="BodyText"/>
    <w:next w:val="BodyText"/>
    <w:qFormat/>
    <w:pPr>
      <w:jc w:val="left"/>
    </w:pPr>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left"/>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left"/>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left"/>
    </w:pPr>
    <w:rPr>
      <w:sz w:val="24"/>
      <w:szCs w:val="24"/>
    </w:rPr>
  </w:style>
  <w:style w:styleId="Date" w:type="paragraph">
    <w:name w:val="Date"/>
    <w:basedOn w:val="Title"/>
    <w:next w:val="BodyText"/>
    <w:qFormat/>
    <w:pPr>
      <w:keepNext/>
      <w:keepLines/>
      <w:jc w:val="left"/>
    </w:pPr>
    <w:rPr>
      <w:sz w:val="24"/>
      <w:szCs w:val="24"/>
    </w:rPr>
  </w:style>
  <w:style w:customStyle="1" w:styleId="AbstractTitle" w:type="paragraph">
    <w:name w:val="Abstract Title"/>
    <w:basedOn w:val="Normal"/>
    <w:next w:val="Abstract"/>
    <w:qFormat/>
    <w:pPr>
      <w:keepNext/>
      <w:keepLines/>
      <w:spacing w:after="0" w:before="300"/>
      <w:jc w:val="left"/>
    </w:pPr>
    <w:rPr>
      <w:b/>
      <w:sz w:val="20"/>
      <w:szCs w:val="20"/>
    </w:rPr>
  </w:style>
  <w:style w:customStyle="1" w:styleId="Abstract" w:type="paragraph">
    <w:name w:val="Abstract"/>
    <w:basedOn w:val="Normal"/>
    <w:next w:val="BodyText"/>
    <w:qFormat/>
    <w:pPr>
      <w:keepNext/>
      <w:keepLines/>
      <w:spacing w:after="300" w:before="100"/>
      <w:jc w:val="left"/>
    </w:pPr>
    <w:rPr>
      <w:sz w:val="20"/>
      <w:szCs w:val="20"/>
    </w:rPr>
  </w:style>
  <w:style w:styleId="Bibliography" w:type="paragraph">
    <w:name w:val="Bibliography"/>
    <w:basedOn w:val="Normal"/>
    <w:next w:val="Bibliography"/>
    <w:qFormat/>
    <w:pPr>
      <w:jc w:val="lef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jc w:val="left"/>
    </w:pPr>
  </w:style>
  <w:style w:styleId="FootnoteText" w:type="paragraph">
    <w:name w:val="Footnote Text"/>
    <w:basedOn w:val="Normal"/>
    <w:next w:val="FootnoteText"/>
    <w:uiPriority w:val="9"/>
    <w:unhideWhenUsed/>
    <w:qFormat/>
    <w:pPr>
      <w:jc w:val="left"/>
    </w:pPr>
  </w:style>
  <w:style w:styleId="FootnoteBlockText" w:type="paragraph">
    <w:name w:val="Footnote Block Text"/>
    <w:basedOn w:val="FootnoteText"/>
    <w:next w:val="FootnoteText"/>
    <w:uiPriority w:val="9"/>
    <w:unhideWhenUsed/>
    <w:qFormat/>
    <w:pPr>
      <w:spacing w:after="100" w:before="100"/>
      <w:ind w:firstLine="0" w:left="480" w:right="480"/>
      <w:jc w:val="left"/>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jc w:val="left"/>
    </w:pPr>
    <w:rPr>
      <w:b/>
    </w:rPr>
  </w:style>
  <w:style w:customStyle="1" w:styleId="Definition" w:type="paragraph">
    <w:name w:val="Definition"/>
    <w:basedOn w:val="Normal"/>
    <w:pPr>
      <w:jc w:val="left"/>
    </w:pPr>
  </w:style>
  <w:style w:styleId="Caption" w:type="paragraph">
    <w:name w:val="Caption"/>
    <w:basedOn w:val="Normal"/>
    <w:link w:val="BodyTextChar"/>
    <w:pPr>
      <w:spacing w:after="120" w:before="0"/>
      <w:jc w:val="left"/>
    </w:pPr>
    <w:rPr>
      <w:i/>
    </w:rPr>
  </w:style>
  <w:style w:customStyle="1" w:styleId="TableCaption" w:type="paragraph">
    <w:name w:val="Table Caption"/>
    <w:basedOn w:val="Caption"/>
    <w:pPr>
      <w:keepNext/>
      <w:jc w:val="left"/>
    </w:pPr>
  </w:style>
  <w:style w:customStyle="1" w:styleId="ImageCaption" w:type="paragraph">
    <w:name w:val="Image Caption"/>
    <w:basedOn w:val="Caption"/>
    <w:pPr>
      <w:jc w:val="left"/>
    </w:pPr>
  </w:style>
  <w:style w:customStyle="1" w:styleId="Figure" w:type="paragraph">
    <w:name w:val="Figure"/>
    <w:basedOn w:val="Normal"/>
    <w:pPr>
      <w:jc w:val="left"/>
    </w:pPr>
  </w:style>
  <w:style w:customStyle="1" w:styleId="CaptionedFigure" w:type="paragraph">
    <w:name w:val="Captioned Figure"/>
    <w:basedOn w:val="Figure"/>
    <w:pPr>
      <w:keepNext/>
      <w:jc w:val="lef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3" Type="http://schemas.openxmlformats.org/officeDocument/2006/relationships/image" Target="media/rId23.png"/><Relationship Id="rId29" Type="http://schemas.openxmlformats.org/officeDocument/2006/relationships/image" Target="media/rId29.png"/><Relationship Id="rId36" Type="http://schemas.openxmlformats.org/officeDocument/2006/relationships/image" Target="media/rId36.png"/><Relationship Id="rId67" Type="http://schemas.openxmlformats.org/officeDocument/2006/relationships/hyperlink" Target="https://arxiv.org/abs/2207.05064" TargetMode="External"/><Relationship Id="rId54" Type="http://schemas.openxmlformats.org/officeDocument/2006/relationships/hyperlink" Target="https://cds.climate.copernicus.eu/" TargetMode="External"/><Relationship Id="rId65" Type="http://schemas.openxmlformats.org/officeDocument/2006/relationships/hyperlink" Target="https://developers.google.com/weathernext/guides/models" TargetMode="External"/><Relationship Id="rId63" Type="http://schemas.openxmlformats.org/officeDocument/2006/relationships/hyperlink" Target="https://doi.org/10.1609/aaai.v36i7.20711" TargetMode="External"/><Relationship Id="rId66" Type="http://schemas.openxmlformats.org/officeDocument/2006/relationships/hyperlink" Target="https://doi.org/10.48550/arXiv.2507.12144" TargetMode="External"/><Relationship Id="rId64" Type="http://schemas.openxmlformats.org/officeDocument/2006/relationships/hyperlink" Target="https://doi.org/10.48550/arXiv.2609.03582" TargetMode="External"/><Relationship Id="rId55" Type="http://schemas.openxmlformats.org/officeDocument/2006/relationships/hyperlink" Target="https://github.com/EDAPINENUT/CLCRN" TargetMode="External"/><Relationship Id="rId59" Type="http://schemas.openxmlformats.org/officeDocument/2006/relationships/hyperlink" Target="https://github.com/gengx-prog/CLCRN-AGF-Scientific-Reports" TargetMode="External"/><Relationship Id="rId56" Type="http://schemas.openxmlformats.org/officeDocument/2006/relationships/hyperlink" Target="https://github.com/gengx-prog/CLCRN-AGF-Scientific-Reports/releases/tag/v0.1-review" TargetMode="External"/><Relationship Id="rId57" Type="http://schemas.openxmlformats.org/officeDocument/2006/relationships/hyperlink" Target="https://github.com/gengx-prog/CLCRN-AGF-Scientific-Reports/releases/tag/v0.2-retraining-20261008" TargetMode="External"/><Relationship Id="rId53" Type="http://schemas.openxmlformats.org/officeDocument/2006/relationships/hyperlink" Target="https://mediatum.ub.tum.de/152489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7" Type="http://schemas.openxmlformats.org/officeDocument/2006/relationships/hyperlink" Target="https://arxiv.org/abs/2207.05064" TargetMode="External"/><Relationship Id="rId54" Type="http://schemas.openxmlformats.org/officeDocument/2006/relationships/hyperlink" Target="https://cds.climate.copernicus.eu/" TargetMode="External"/><Relationship Id="rId65" Type="http://schemas.openxmlformats.org/officeDocument/2006/relationships/hyperlink" Target="https://developers.google.com/weathernext/guides/models" TargetMode="External"/><Relationship Id="rId63" Type="http://schemas.openxmlformats.org/officeDocument/2006/relationships/hyperlink" Target="https://doi.org/10.1609/aaai.v36i7.20711" TargetMode="External"/><Relationship Id="rId66" Type="http://schemas.openxmlformats.org/officeDocument/2006/relationships/hyperlink" Target="https://doi.org/10.48550/arXiv.2507.12144" TargetMode="External"/><Relationship Id="rId64" Type="http://schemas.openxmlformats.org/officeDocument/2006/relationships/hyperlink" Target="https://doi.org/10.48550/arXiv.2609.03582" TargetMode="External"/><Relationship Id="rId55" Type="http://schemas.openxmlformats.org/officeDocument/2006/relationships/hyperlink" Target="https://github.com/EDAPINENUT/CLCRN" TargetMode="External"/><Relationship Id="rId59" Type="http://schemas.openxmlformats.org/officeDocument/2006/relationships/hyperlink" Target="https://github.com/gengx-prog/CLCRN-AGF-Scientific-Reports" TargetMode="External"/><Relationship Id="rId56" Type="http://schemas.openxmlformats.org/officeDocument/2006/relationships/hyperlink" Target="https://github.com/gengx-prog/CLCRN-AGF-Scientific-Reports/releases/tag/v0.1-review" TargetMode="External"/><Relationship Id="rId57" Type="http://schemas.openxmlformats.org/officeDocument/2006/relationships/hyperlink" Target="https://github.com/gengx-prog/CLCRN-AGF-Scientific-Reports/releases/tag/v0.2-retraining-20261008" TargetMode="External"/><Relationship Id="rId53" Type="http://schemas.openxmlformats.org/officeDocument/2006/relationships/hyperlink" Target="https://mediatum.ub.tum.de/152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adaptive graph fusion for short-range weather forecasting with conditional local convolution</dc:title>
  <dc:creator>Xinchen Geng</dc:creator>
  <cp:keywords/>
  <dcterms:created xsi:type="dcterms:W3CDTF">2026-10-08T08:50:23Z</dcterms:created>
  <dcterms:modified xsi:type="dcterms:W3CDTF">2026-10-08T08:50:23Z</dcterms:modified>
  <cp:lastModifiedBy>Xinchen Geng</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