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Equipes editoriais multiagente para a produção de papers técnicos</w:t>
      </w:r>
    </w:p>
    <w:p>
      <w:r>
        <w:rPr>
          <w:b/>
        </w:rPr>
        <w:t>Autor:</w:t>
      </w:r>
      <w:r>
        <w:t xml:space="preserve"> usuário + equipe Papo Pepper · </w:t>
      </w:r>
      <w:r>
        <w:rPr>
          <w:b/>
        </w:rPr>
        <w:t>Data:</w:t>
      </w:r>
      <w:r>
        <w:t xml:space="preserve"> 2026-09-22 · </w:t>
      </w:r>
      <w:r>
        <w:rPr>
          <w:b/>
        </w:rPr>
        <w:t>Estilo:</w:t>
      </w:r>
      <w:r>
        <w:t xml:space="preserve"> IEEE</w:t>
      </w:r>
    </w:p>
    <w:p>
      <w:pPr>
        <w:pStyle w:val="Heading1"/>
      </w:pPr>
      <w:r>
        <w:t>Resumo</w:t>
      </w:r>
    </w:p>
    <w:p>
      <w:r>
        <w:t>Este preprint descreve o Papo Pepper, um pipeline de agentes especializados que transforma</w:t>
      </w:r>
    </w:p>
    <w:p>
      <w:r>
        <w:t>matéria-prima heterogênea (tema, áudio, texto, artigo, repositório) em papers profundos com</w:t>
      </w:r>
    </w:p>
    <w:p>
      <w:r>
        <w:t xml:space="preserve">garantia de verificação. A arquitetura separa </w:t>
      </w:r>
      <w:r>
        <w:rPr>
          <w:i/>
        </w:rPr>
        <w:t>produção</w:t>
      </w:r>
      <w:r>
        <w:t xml:space="preserve"> de </w:t>
      </w:r>
      <w:r>
        <w:rPr>
          <w:i/>
        </w:rPr>
        <w:t>julgamento</w:t>
      </w:r>
      <w:r>
        <w:t>: redatores escrevem;</w:t>
      </w:r>
    </w:p>
    <w:p>
      <w:r>
        <w:t>validadores, céticos, retadores e um juiz notado aprovam. Três invariantes sustentam a</w:t>
      </w:r>
    </w:p>
    <w:p>
      <w:r>
        <w:t>qualidade: toda afirmação factual tem fonte, todo número tem execução, e nenhum papel decide</w:t>
      </w:r>
    </w:p>
    <w:p>
      <w:r>
        <w:t>sobre si mesmo [1][2].</w:t>
      </w:r>
    </w:p>
    <w:p>
      <w:r>
        <w:rPr>
          <w:b/>
        </w:rPr>
        <w:t>Palavras-chave:</w:t>
      </w:r>
      <w:r>
        <w:t xml:space="preserve"> agentes de linguagem; edição científica; verificação automática; multiagente</w:t>
      </w:r>
    </w:p>
    <w:p>
      <w:pPr>
        <w:pStyle w:val="Heading1"/>
      </w:pPr>
      <w:r>
        <w:t>1. Introdução</w:t>
      </w:r>
    </w:p>
    <w:p>
      <w:pPr>
        <w:pStyle w:val="Heading2"/>
      </w:pPr>
      <w:r>
        <w:t>1.1 Problema</w:t>
      </w:r>
    </w:p>
    <w:p>
      <w:r>
        <w:t>Geradores únicos de texto produzem papers fluentes e frequentemente inverificáveis: fontes</w:t>
      </w:r>
    </w:p>
    <w:p>
      <w:r>
        <w:t>inexistentes, números sem origem, método opaco. A falha raramente é de estilo — é de processo.</w:t>
      </w:r>
    </w:p>
    <w:p>
      <w:pPr>
        <w:pStyle w:val="Heading2"/>
      </w:pPr>
      <w:r>
        <w:t>1.2 Abordagem</w:t>
      </w:r>
    </w:p>
    <w:p>
      <w:r>
        <w:t>Separar papéis como numa redação real: pesquisa em paralelo, organização informacional,</w:t>
      </w:r>
    </w:p>
    <w:p>
      <w:r>
        <w:t>validação executada, crítica adversarial e decisão por métrica — não por impressão [2].</w:t>
      </w:r>
    </w:p>
    <w:p>
      <w:pPr>
        <w:pStyle w:val="Heading1"/>
      </w:pPr>
      <w:r>
        <w:t>2. Arquitetura</w:t>
      </w:r>
    </w:p>
    <w:p>
      <w:pPr>
        <w:shd w:val="clear" w:fill="F2F5F9"/>
      </w:pPr>
      <w:r>
        <w:rPr>
          <w:rFonts w:ascii="Consolas" w:hAnsi="Consolas"/>
          <w:sz w:val="17"/>
        </w:rPr>
        <w:t>flowchart TD</w:t>
      </w:r>
    </w:p>
    <w:p>
      <w:pPr>
        <w:shd w:val="clear" w:fill="F2F5F9"/>
      </w:pPr>
      <w:r>
        <w:rPr>
          <w:rFonts w:ascii="Consolas" w:hAnsi="Consolas"/>
          <w:sz w:val="17"/>
        </w:rPr>
        <w:t>A[matéria-prima] --&gt; B[intake / entrevista]</w:t>
      </w:r>
    </w:p>
    <w:p>
      <w:pPr>
        <w:shd w:val="clear" w:fill="F2F5F9"/>
      </w:pPr>
      <w:r>
        <w:rPr>
          <w:rFonts w:ascii="Consolas" w:hAnsi="Consolas"/>
          <w:sz w:val="17"/>
        </w:rPr>
        <w:t>B --&gt; C[BRIEF aprovado]</w:t>
      </w:r>
    </w:p>
    <w:p>
      <w:pPr>
        <w:shd w:val="clear" w:fill="F2F5F9"/>
      </w:pPr>
      <w:r>
        <w:rPr>
          <w:rFonts w:ascii="Consolas" w:hAnsi="Consolas"/>
          <w:sz w:val="17"/>
        </w:rPr>
        <w:t>C --&gt; D[research ×N paralelo]</w:t>
      </w:r>
    </w:p>
    <w:p>
      <w:pPr>
        <w:shd w:val="clear" w:fill="F2F5F9"/>
      </w:pPr>
      <w:r>
        <w:rPr>
          <w:rFonts w:ascii="Consolas" w:hAnsi="Consolas"/>
          <w:sz w:val="17"/>
        </w:rPr>
        <w:t>D --&gt; E[organize: fontes + outline]</w:t>
      </w:r>
    </w:p>
    <w:p>
      <w:pPr>
        <w:shd w:val="clear" w:fill="F2F5F9"/>
      </w:pPr>
      <w:r>
        <w:rPr>
          <w:rFonts w:ascii="Consolas" w:hAnsi="Consolas"/>
          <w:sz w:val="17"/>
        </w:rPr>
        <w:t>E --&gt; F[verify: claims + cálculo]</w:t>
      </w:r>
    </w:p>
    <w:p>
      <w:pPr>
        <w:shd w:val="clear" w:fill="F2F5F9"/>
      </w:pPr>
      <w:r>
        <w:rPr>
          <w:rFonts w:ascii="Consolas" w:hAnsi="Consolas"/>
          <w:sz w:val="17"/>
        </w:rPr>
        <w:t>F --&gt; G[draft]</w:t>
      </w:r>
    </w:p>
    <w:p>
      <w:pPr>
        <w:shd w:val="clear" w:fill="F2F5F9"/>
      </w:pPr>
      <w:r>
        <w:rPr>
          <w:rFonts w:ascii="Consolas" w:hAnsi="Consolas"/>
          <w:sz w:val="17"/>
        </w:rPr>
        <w:t>G --&gt; H[figures]</w:t>
      </w:r>
    </w:p>
    <w:p>
      <w:pPr>
        <w:shd w:val="clear" w:fill="F2F5F9"/>
      </w:pPr>
      <w:r>
        <w:rPr>
          <w:rFonts w:ascii="Consolas" w:hAnsi="Consolas"/>
          <w:sz w:val="17"/>
        </w:rPr>
        <w:t>H --&gt; I[critique: cético ∥ retador]</w:t>
      </w:r>
    </w:p>
    <w:p>
      <w:pPr>
        <w:shd w:val="clear" w:fill="F2F5F9"/>
      </w:pPr>
      <w:r>
        <w:rPr>
          <w:rFonts w:ascii="Consolas" w:hAnsi="Consolas"/>
          <w:sz w:val="17"/>
        </w:rPr>
        <w:t>I --&gt; J{{juiz: média ≥ 8}}</w:t>
      </w:r>
    </w:p>
    <w:p>
      <w:pPr>
        <w:shd w:val="clear" w:fill="F2F5F9"/>
      </w:pPr>
      <w:r>
        <w:rPr>
          <w:rFonts w:ascii="Consolas" w:hAnsi="Consolas"/>
          <w:sz w:val="17"/>
        </w:rPr>
        <w:t>J -- correções (≤3) --&gt; G</w:t>
      </w:r>
    </w:p>
    <w:p>
      <w:pPr>
        <w:shd w:val="clear" w:fill="F2F5F9"/>
      </w:pPr>
      <w:r>
        <w:rPr>
          <w:rFonts w:ascii="Consolas" w:hAnsi="Consolas"/>
          <w:sz w:val="17"/>
        </w:rPr>
        <w:t>J -- aprova --&gt; K[render PDF/DOCX/HTML]</w:t>
      </w:r>
    </w:p>
    <w:p>
      <w:r>
        <w:t xml:space="preserve">Figura 1 — Pipeline do Papo Pepper (especificação em </w:t>
      </w:r>
      <w:r>
        <w:rPr>
          <w:rFonts w:ascii="Consolas" w:hAnsi="Consolas"/>
          <w:sz w:val="18"/>
        </w:rPr>
        <w:t>pipeline/pipeline.json</w:t>
      </w:r>
      <w:r>
        <w:t>).</w:t>
      </w:r>
    </w:p>
    <w:p>
      <w:pPr>
        <w:pStyle w:val="Heading1"/>
      </w:pPr>
      <w:r>
        <w:t>3. Papéis e responsabilidade única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Papel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Responsabilidade exclusiva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Artefato-chave</w:t>
            </w:r>
          </w:p>
        </w:tc>
      </w:tr>
      <w:tr>
        <w:tc>
          <w:tcPr>
            <w:tcW w:type="dxa" w:w="2880"/>
          </w:tcPr>
          <w:p>
            <w:r/>
            <w:r>
              <w:t>Pesquisador Profundo</w:t>
            </w:r>
          </w:p>
        </w:tc>
        <w:tc>
          <w:tcPr>
            <w:tcW w:type="dxa" w:w="2880"/>
          </w:tcPr>
          <w:p>
            <w:r/>
            <w:r>
              <w:t>coleta em camadas com proveniência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research/*.md</w:t>
            </w:r>
          </w:p>
        </w:tc>
      </w:tr>
      <w:tr>
        <w:tc>
          <w:tcPr>
            <w:tcW w:type="dxa" w:w="2880"/>
          </w:tcPr>
          <w:p>
            <w:r/>
            <w:r>
              <w:t>Cientista da Informação</w:t>
            </w:r>
          </w:p>
        </w:tc>
        <w:tc>
          <w:tcPr>
            <w:tcW w:type="dxa" w:w="2880"/>
          </w:tcPr>
          <w:p>
            <w:r/>
            <w:r>
              <w:t>taxonomia, dedupe, outline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sources.md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outline.md</w:t>
            </w:r>
          </w:p>
        </w:tc>
      </w:tr>
      <w:tr>
        <w:tc>
          <w:tcPr>
            <w:tcW w:type="dxa" w:w="2880"/>
          </w:tcPr>
          <w:p>
            <w:r/>
            <w:r>
              <w:t>Validador</w:t>
            </w:r>
          </w:p>
        </w:tc>
        <w:tc>
          <w:tcPr>
            <w:tcW w:type="dxa" w:w="2880"/>
          </w:tcPr>
          <w:p>
            <w:r/>
            <w:r>
              <w:t>atestado de fonte/cálculo por afirmação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claims.md</w:t>
            </w:r>
          </w:p>
        </w:tc>
      </w:tr>
      <w:tr>
        <w:tc>
          <w:tcPr>
            <w:tcW w:type="dxa" w:w="2880"/>
          </w:tcPr>
          <w:p>
            <w:r/>
            <w:r>
              <w:t>Cético</w:t>
            </w:r>
          </w:p>
        </w:tc>
        <w:tc>
          <w:tcPr>
            <w:tcW w:type="dxa" w:w="2880"/>
          </w:tcPr>
          <w:p>
            <w:r/>
            <w:r>
              <w:t>falhas de método e evidência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critique/cetico.md</w:t>
            </w:r>
          </w:p>
        </w:tc>
      </w:tr>
      <w:tr>
        <w:tc>
          <w:tcPr>
            <w:tcW w:type="dxa" w:w="2880"/>
          </w:tcPr>
          <w:p>
            <w:r/>
            <w:r>
              <w:t>Retador</w:t>
            </w:r>
          </w:p>
        </w:tc>
        <w:tc>
          <w:tcPr>
            <w:tcW w:type="dxa" w:w="2880"/>
          </w:tcPr>
          <w:p>
            <w:r/>
            <w:r>
              <w:t>melhor caso contrário, de boa-fé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critique/tese-contra.md</w:t>
            </w:r>
          </w:p>
        </w:tc>
      </w:tr>
      <w:tr>
        <w:tc>
          <w:tcPr>
            <w:tcW w:type="dxa" w:w="2880"/>
          </w:tcPr>
          <w:p>
            <w:r/>
            <w:r>
              <w:t>Juiz</w:t>
            </w:r>
          </w:p>
        </w:tc>
        <w:tc>
          <w:tcPr>
            <w:tcW w:type="dxa" w:w="2880"/>
          </w:tcPr>
          <w:p>
            <w:r/>
            <w:r>
              <w:t>nota por critério; único poder de veto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ruling.md</w:t>
            </w:r>
          </w:p>
        </w:tc>
      </w:tr>
    </w:tbl>
    <w:p>
      <w:pPr>
        <w:pStyle w:val="Heading1"/>
      </w:pPr>
      <w:r>
        <w:t>4. Garantia de qualidade</w:t>
      </w:r>
    </w:p>
    <w:p>
      <w:pPr>
        <w:pStyle w:val="ListBullet"/>
      </w:pPr>
      <w:r>
        <w:rPr>
          <w:b/>
        </w:rPr>
        <w:t>Fonte:</w:t>
      </w:r>
      <w:r>
        <w:t xml:space="preserve"> afirmação factual sem URL vira hipótese declarada.</w:t>
      </w:r>
    </w:p>
    <w:p>
      <w:pPr>
        <w:pStyle w:val="ListBullet"/>
      </w:pPr>
      <w:r>
        <w:rPr>
          <w:b/>
        </w:rPr>
        <w:t>Execução:</w:t>
      </w:r>
      <w:r>
        <w:t xml:space="preserve"> número alegado é reproduzido em </w:t>
      </w:r>
      <w:r>
        <w:rPr>
          <w:rFonts w:ascii="Consolas" w:hAnsi="Consolas"/>
          <w:sz w:val="18"/>
        </w:rPr>
        <w:t>lab/*.py</w:t>
      </w:r>
      <w:r>
        <w:t xml:space="preserve"> antes de entrar no texto.</w:t>
      </w:r>
    </w:p>
    <w:p>
      <w:pPr>
        <w:pStyle w:val="ListBullet"/>
      </w:pPr>
      <w:r>
        <w:rPr>
          <w:b/>
        </w:rPr>
        <w:t>Veto:</w:t>
      </w:r>
      <w:r>
        <w:t xml:space="preserve"> aprovação exige média ≥ 8,0 em seis critérios e nenhum ≤ 6; máximo três rodadas.</w:t>
      </w:r>
    </w:p>
    <w:p>
      <w:pPr>
        <w:pStyle w:val="ListBullet"/>
      </w:pPr>
      <w:r>
        <w:rPr>
          <w:b/>
        </w:rPr>
        <w:t>Transparência:</w:t>
      </w:r>
      <w:r>
        <w:t xml:space="preserve"> cada veredito cita o trecho julgado; disputas são decididas por fonte ou cálculo.</w:t>
      </w:r>
    </w:p>
    <w:p>
      <w:pPr>
        <w:pStyle w:val="Heading1"/>
      </w:pPr>
      <w:r>
        <w:t>5. Limitações</w:t>
      </w:r>
    </w:p>
    <w:p>
      <w:r>
        <w:t>O pipeline depende da honestidade da ferramenta de busca subjacente: fonte falsa acessível é</w:t>
      </w:r>
    </w:p>
    <w:p>
      <w:r>
        <w:t>fonte falsa verificada. A barra do juiz é calibrada para texto técnico; ensaios longos exigem</w:t>
      </w:r>
    </w:p>
    <w:p>
      <w:r>
        <w:t>retuning dos pesos.</w:t>
      </w:r>
    </w:p>
    <w:p>
      <w:pPr>
        <w:pStyle w:val="Heading1"/>
      </w:pPr>
      <w:r>
        <w:t>6. Conclusão</w:t>
      </w:r>
    </w:p>
    <w:p>
      <w:r>
        <w:t>Tratar o paper como produto de equipe — e não de geração — converte qualidade de sorte em</w:t>
      </w:r>
    </w:p>
    <w:p>
      <w:r>
        <w:t>qualidade de processo. Próximos passos: revisão cruzada por dois juízes independentes e</w:t>
      </w:r>
    </w:p>
    <w:p>
      <w:r>
        <w:t>backend LaTeX estrito.</w:t>
      </w:r>
    </w:p>
    <w:p>
      <w:pPr>
        <w:pStyle w:val="Heading1"/>
      </w:pPr>
      <w:r>
        <w:t>Referências</w:t>
      </w:r>
    </w:p>
    <w:p>
      <w:pPr>
        <w:pStyle w:val="ListNumber"/>
      </w:pPr>
      <w:r>
        <w:t xml:space="preserve">Lewis, P. et al. (2020). </w:t>
      </w:r>
      <w:r>
        <w:rPr>
          <w:i/>
        </w:rPr>
        <w:t>Retrieval-Augmented Generation for Knowledge-Intensive NLP Tasks.</w:t>
      </w:r>
      <w:r>
        <w:t xml:space="preserve"> arXiv:2005.11401.</w:t>
      </w:r>
    </w:p>
    <w:p>
      <w:pPr>
        <w:pStyle w:val="ListNumber"/>
      </w:pPr>
      <w:r>
        <w:t xml:space="preserve">Wu, Q. et al. (2023). </w:t>
      </w:r>
      <w:r>
        <w:rPr>
          <w:i/>
        </w:rPr>
        <w:t>AutoGen: Enabling Next-Gen LLM Applications via Multi-Agent Conversation.</w:t>
      </w:r>
      <w:r>
        <w:t xml:space="preserve"> arXiv:2308.08155.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