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python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 LIST INTERFACE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[&lt;optimizer id&gt;, &lt;loss function id&gt;, [layers]]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LAYER LIST INTERFACE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[&lt;layer id&gt;, [input shape], &lt;input size&gt;, [output shape], &lt;output size&gt;, &lt;misc info&gt;, &lt;activation id&gt; 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input and output shape for ‘images’ will always be [&lt;height&gt;, &lt;width&gt;, &lt;channels/filters&gt;]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 CONVENTIONS FOR LAYERS AND ACTIVATIONS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1: 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2: dense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3: conv2d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4: relu-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5: softmax-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6: maxpool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7: 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 padding layer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8: 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0"/>
        </w:rPr>
        <w:t xml:space="preserve"> normalization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9: avg pooling 2d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10: global avg pooling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11: </w:t>
      </w:r>
      <w:r w:rsidDel="00000000" w:rsidR="00000000" w:rsidRPr="00000000">
        <w:rPr>
          <w:rtl w:val="0"/>
        </w:rPr>
        <w:t xml:space="preserve">prelu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12: sigmoid-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13: softplus-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14: swish-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15: softsign-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16: tanh-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 CONVENTIONS FOR OPTIMIZERS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0: Adam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1: Nadam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2: Adadelta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3: Adagrad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4: Adamax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5: RMSprop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6: SGD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 CONVENTIONS FOR LOSS FUNCTIONS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0: Categorical Cross Entropy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1: Absolute loss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2: Hinge loss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3: Huber loss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4: Mean squared error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