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pPr>
      <w:r>
        <w:rPr>
          <w:rFonts w:ascii="Aptos" w:hAnsi="Aptos"/>
          <w:b/>
          <w:color w:val="2EA0D1"/>
          <w:sz w:val="20"/>
        </w:rPr>
        <w:t>BUSINESS REQUIREMENTS DOCUMENT</w:t>
      </w:r>
    </w:p>
    <w:p>
      <w:pPr>
        <w:pStyle w:val="Title"/>
        <w:spacing w:after="100"/>
      </w:pPr>
      <w:r>
        <w:t>Wholesale Inventory and Procurement Portal</w:t>
      </w:r>
    </w:p>
    <w:p>
      <w:pPr>
        <w:spacing w:after="360"/>
      </w:pPr>
      <w:r>
        <w:rPr>
          <w:rFonts w:ascii="Aptos" w:hAnsi="Aptos"/>
          <w:color w:val="596B78"/>
          <w:sz w:val="24"/>
        </w:rPr>
        <w:t>Responsive web application | Multi-warehouse stock, purchase orders, receiving, and audit</w:t>
      </w:r>
    </w:p>
    <w:tbl>
      <w:tblPr>
        <w:tblW w:type="auto" w:w="0"/>
        <w:jc w:val="left"/>
        <w:tblLayout w:type="fixed"/>
        <w:tblLook w:firstColumn="1" w:firstRow="1" w:lastColumn="0" w:lastRow="0" w:noHBand="0" w:noVBand="1" w:val="04A0"/>
      </w:tblPr>
      <w:tblGrid>
        <w:gridCol w:w="2376"/>
        <w:gridCol w:w="7992"/>
      </w:tblGrid>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Document ID</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OPS-IT-BRD-027</w:t>
            </w:r>
          </w:p>
        </w:tc>
      </w:tr>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Business owner</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Operations and Procurement</w:t>
            </w:r>
          </w:p>
        </w:tc>
      </w:tr>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Prepared for</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Warehouse, Procurement, Finance, IT</w:t>
            </w:r>
          </w:p>
        </w:tc>
      </w:tr>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Version</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1.0</w:t>
            </w:r>
          </w:p>
        </w:tc>
      </w:tr>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Status</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Draft for delivery estimation</w:t>
            </w:r>
          </w:p>
        </w:tc>
      </w:tr>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Date</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19 October 2026</w:t>
            </w:r>
          </w:p>
        </w:tc>
      </w:tr>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Target platform</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Responsive web app, REST API, relational database, cloud hosting</w:t>
            </w:r>
          </w:p>
        </w:tc>
      </w:tr>
    </w:tbl>
    <w:p/>
    <w:p>
      <w:pPr>
        <w:spacing w:before="200"/>
      </w:pPr>
      <w:r>
        <w:rPr>
          <w:rFonts w:ascii="Aptos" w:hAnsi="Aptos"/>
          <w:b/>
          <w:color w:val="163B5C"/>
          <w:sz w:val="20"/>
        </w:rPr>
        <w:t>DECISION SUMMARY</w:t>
      </w:r>
    </w:p>
    <w:p>
      <w:pPr>
        <w:spacing w:after="200"/>
        <w:ind w:left="173" w:right="173"/>
        <w:pBdr>
          <w:left w:val="single" w:sz="20" w:space="7" w:color="2EA0D1"/>
        </w:pBdr>
      </w:pPr>
      <w:r>
        <w:t>Replace shared inventory spreadsheets with a role-controlled web portal for product master data, warehouse stock, purchase orders, goods receiving, stock adjustments, and low-stock visibility. The first release serves internal staff across three warehouses and does not integrate with an ERP or external supplier portals.</w:t>
      </w:r>
    </w:p>
    <w:p>
      <w:r>
        <w:t>Document purpose: define the business outcomes, scope, delivery constraints, and acceptance conditions needed for solution design and delivery planning. This document does not prescribe a project estimate.</w:t>
      </w:r>
    </w:p>
    <w:p>
      <w:r>
        <w:br w:type="page"/>
      </w:r>
    </w:p>
    <w:p>
      <w:pPr>
        <w:pStyle w:val="Heading1"/>
      </w:pPr>
      <w:r>
        <w:t>1. Executive Summary</w:t>
      </w:r>
    </w:p>
    <w:p>
      <w:r>
        <w:t>Three warehouses currently maintain separate stock spreadsheets. Product naming differs between files, receiving updates are delayed, and the procurement team cannot reliably compare available stock with reorder thresholds. Managers lack a consistent view of outstanding purchase orders and stock adjustments.</w:t>
      </w:r>
    </w:p>
    <w:p>
      <w:r>
        <w:t>The portal will centralize operational stock transactions, create a traceable purchase-to-receipt workflow, and expose current stock by product and warehouse. It is an internal operational system and will not replace accounting, invoicing, or general ledger processes.</w:t>
      </w:r>
    </w:p>
    <w:p>
      <w:pPr>
        <w:pStyle w:val="Heading1"/>
      </w:pPr>
      <w:r>
        <w:t>2. Business Context and Objectives</w:t>
      </w:r>
    </w:p>
    <w:p>
      <w:pPr>
        <w:pStyle w:val="Heading2"/>
      </w:pPr>
      <w:r>
        <w:t>2.1 Business problem</w:t>
      </w:r>
    </w:p>
    <w:p>
      <w:r>
        <w:t>Stock quantities are manually reconciled after receiving or transferring goods, resulting in duplicate edits and uncertainty about which spreadsheet is current. Purchase orders are frequently approved through email without structured status tracking.</w:t>
      </w:r>
    </w:p>
    <w:p>
      <w:pPr>
        <w:pStyle w:val="Heading2"/>
      </w:pPr>
      <w:r>
        <w:t>2.2 Goals</w:t>
      </w:r>
    </w:p>
    <w:p>
      <w:pPr>
        <w:pStyle w:val="ListBullet"/>
        <w:spacing w:after="40"/>
        <w:ind w:left="360" w:hanging="216"/>
      </w:pPr>
      <w:r>
        <w:t>Maintain a unique product catalogue and warehouse-specific stock balances.</w:t>
      </w:r>
    </w:p>
    <w:p>
      <w:pPr>
        <w:pStyle w:val="ListBullet"/>
        <w:spacing w:after="40"/>
        <w:ind w:left="360" w:hanging="216"/>
      </w:pPr>
      <w:r>
        <w:t>Record all stock-in, stock-out, transfer, and adjustment events through traceable transactions.</w:t>
      </w:r>
    </w:p>
    <w:p>
      <w:pPr>
        <w:pStyle w:val="ListBullet"/>
        <w:spacing w:after="40"/>
        <w:ind w:left="360" w:hanging="216"/>
      </w:pPr>
      <w:r>
        <w:t>Create purchase orders with line-level quantities, expected dates, suppliers, and approval history.</w:t>
      </w:r>
    </w:p>
    <w:p>
      <w:pPr>
        <w:pStyle w:val="ListBullet"/>
        <w:spacing w:after="40"/>
        <w:ind w:left="360" w:hanging="216"/>
      </w:pPr>
      <w:r>
        <w:t>Receive goods partially or fully against an approved purchase order and prevent over-receipt unless an authorized exception is recorded.</w:t>
      </w:r>
    </w:p>
    <w:p>
      <w:pPr>
        <w:pStyle w:val="ListBullet"/>
        <w:spacing w:after="40"/>
        <w:ind w:left="360" w:hanging="216"/>
      </w:pPr>
      <w:r>
        <w:t>Flag items at or below their reorder point and give procurement a reviewable replenishment list.</w:t>
      </w:r>
    </w:p>
    <w:p>
      <w:pPr>
        <w:pStyle w:val="ListBullet"/>
        <w:spacing w:after="40"/>
        <w:ind w:left="360" w:hanging="216"/>
      </w:pPr>
      <w:r>
        <w:t>Provide searchable transaction history and exports for operational reconciliation.</w:t>
      </w:r>
    </w:p>
    <w:p>
      <w:pPr>
        <w:pStyle w:val="Heading2"/>
      </w:pPr>
      <w:r>
        <w:t>2.3 Success measures</w:t>
      </w:r>
    </w:p>
    <w:tbl>
      <w:tblPr>
        <w:tblStyle w:val="TableGrid"/>
        <w:tblW w:type="auto" w:w="0"/>
        <w:jc w:val="center"/>
        <w:tblLayout w:type="fixed"/>
        <w:tblLook w:firstColumn="1" w:firstRow="1" w:lastColumn="0" w:lastRow="0" w:noHBand="0" w:noVBand="1" w:val="04A0"/>
      </w:tblPr>
      <w:tblGrid>
        <w:gridCol w:w="2088"/>
        <w:gridCol w:w="5472"/>
        <w:gridCol w:w="2664"/>
      </w:tblGrid>
      <w:tr>
        <w:trPr>
          <w:tblHeader w:val="true"/>
        </w:trPr>
        <w:tc>
          <w:tcPr>
            <w:tcW w:type="dxa" w:w="2088"/>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Measure</w:t>
            </w:r>
          </w:p>
        </w:tc>
        <w:tc>
          <w:tcPr>
            <w:tcW w:type="dxa" w:w="5472"/>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Expected outcome</w:t>
            </w:r>
          </w:p>
        </w:tc>
        <w:tc>
          <w:tcPr>
            <w:tcW w:type="dxa" w:w="2664"/>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Acceptance method</w:t>
            </w:r>
          </w:p>
        </w:tc>
      </w:tr>
      <w:tr>
        <w:tc>
          <w:tcPr>
            <w:tcW w:type="dxa" w:w="2088"/>
            <w:vAlign w:val="center"/>
            <w:tcMar>
              <w:top w:w="80" w:type="dxa"/>
              <w:start w:w="100" w:type="dxa"/>
              <w:bottom w:w="80" w:type="dxa"/>
              <w:end w:w="100" w:type="dxa"/>
            </w:tcMar>
          </w:tcPr>
          <w:p>
            <w:pPr>
              <w:spacing w:after="0" w:before="0" w:line="240" w:lineRule="auto"/>
            </w:pPr>
            <w:r/>
            <w:r>
              <w:rPr>
                <w:rFonts w:ascii="Aptos" w:hAnsi="Aptos"/>
                <w:b w:val="0"/>
                <w:color w:val="243746"/>
                <w:sz w:val="16"/>
              </w:rPr>
              <w:t>Stock integrity</w:t>
            </w:r>
          </w:p>
        </w:tc>
        <w:tc>
          <w:tcPr>
            <w:tcW w:type="dxa" w:w="5472"/>
            <w:vAlign w:val="center"/>
            <w:tcMar>
              <w:top w:w="80" w:type="dxa"/>
              <w:start w:w="100" w:type="dxa"/>
              <w:bottom w:w="80" w:type="dxa"/>
              <w:end w:w="100" w:type="dxa"/>
            </w:tcMar>
          </w:tcPr>
          <w:p>
            <w:pPr>
              <w:spacing w:after="0" w:before="0" w:line="240" w:lineRule="auto"/>
            </w:pPr>
            <w:r/>
            <w:r>
              <w:rPr>
                <w:rFonts w:ascii="Aptos" w:hAnsi="Aptos"/>
                <w:b w:val="0"/>
                <w:color w:val="243746"/>
                <w:sz w:val="16"/>
              </w:rPr>
              <w:t>Current stock equals opening balance plus valid stock movements.</w:t>
            </w:r>
          </w:p>
        </w:tc>
        <w:tc>
          <w:tcPr>
            <w:tcW w:type="dxa" w:w="2664"/>
            <w:vAlign w:val="center"/>
            <w:tcMar>
              <w:top w:w="80" w:type="dxa"/>
              <w:start w:w="100" w:type="dxa"/>
              <w:bottom w:w="80" w:type="dxa"/>
              <w:end w:w="100" w:type="dxa"/>
            </w:tcMar>
          </w:tcPr>
          <w:p>
            <w:pPr>
              <w:spacing w:after="0" w:before="0" w:line="240" w:lineRule="auto"/>
            </w:pPr>
            <w:r/>
            <w:r>
              <w:rPr>
                <w:rFonts w:ascii="Aptos" w:hAnsi="Aptos"/>
                <w:b w:val="0"/>
                <w:color w:val="243746"/>
                <w:sz w:val="16"/>
              </w:rPr>
              <w:t>Reconciliation tests</w:t>
            </w:r>
          </w:p>
        </w:tc>
      </w:tr>
      <w:tr>
        <w:tc>
          <w:tcPr>
            <w:tcW w:type="dxa" w:w="208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Receiving traceability</w:t>
            </w:r>
          </w:p>
        </w:tc>
        <w:tc>
          <w:tcPr>
            <w:tcW w:type="dxa" w:w="54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Each receipt references a purchase order or approved standalone receipt reason.</w:t>
            </w:r>
          </w:p>
        </w:tc>
        <w:tc>
          <w:tcPr>
            <w:tcW w:type="dxa" w:w="26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UAT scenario review</w:t>
            </w:r>
          </w:p>
        </w:tc>
      </w:tr>
      <w:tr>
        <w:tc>
          <w:tcPr>
            <w:tcW w:type="dxa" w:w="2088"/>
            <w:vAlign w:val="center"/>
            <w:tcMar>
              <w:top w:w="80" w:type="dxa"/>
              <w:start w:w="100" w:type="dxa"/>
              <w:bottom w:w="80" w:type="dxa"/>
              <w:end w:w="100" w:type="dxa"/>
            </w:tcMar>
          </w:tcPr>
          <w:p>
            <w:pPr>
              <w:spacing w:after="0" w:before="0" w:line="240" w:lineRule="auto"/>
            </w:pPr>
            <w:r/>
            <w:r>
              <w:rPr>
                <w:rFonts w:ascii="Aptos" w:hAnsi="Aptos"/>
                <w:b w:val="0"/>
                <w:color w:val="243746"/>
                <w:sz w:val="16"/>
              </w:rPr>
              <w:t>Access control</w:t>
            </w:r>
          </w:p>
        </w:tc>
        <w:tc>
          <w:tcPr>
            <w:tcW w:type="dxa" w:w="5472"/>
            <w:vAlign w:val="center"/>
            <w:tcMar>
              <w:top w:w="80" w:type="dxa"/>
              <w:start w:w="100" w:type="dxa"/>
              <w:bottom w:w="80" w:type="dxa"/>
              <w:end w:w="100" w:type="dxa"/>
            </w:tcMar>
          </w:tcPr>
          <w:p>
            <w:pPr>
              <w:spacing w:after="0" w:before="0" w:line="240" w:lineRule="auto"/>
            </w:pPr>
            <w:r/>
            <w:r>
              <w:rPr>
                <w:rFonts w:ascii="Aptos" w:hAnsi="Aptos"/>
                <w:b w:val="0"/>
                <w:color w:val="243746"/>
                <w:sz w:val="16"/>
              </w:rPr>
              <w:t>Users only perform actions permitted by role and warehouse assignment.</w:t>
            </w:r>
          </w:p>
        </w:tc>
        <w:tc>
          <w:tcPr>
            <w:tcW w:type="dxa" w:w="2664"/>
            <w:vAlign w:val="center"/>
            <w:tcMar>
              <w:top w:w="80" w:type="dxa"/>
              <w:start w:w="100" w:type="dxa"/>
              <w:bottom w:w="80" w:type="dxa"/>
              <w:end w:w="100" w:type="dxa"/>
            </w:tcMar>
          </w:tcPr>
          <w:p>
            <w:pPr>
              <w:spacing w:after="0" w:before="0" w:line="240" w:lineRule="auto"/>
            </w:pPr>
            <w:r/>
            <w:r>
              <w:rPr>
                <w:rFonts w:ascii="Aptos" w:hAnsi="Aptos"/>
                <w:b w:val="0"/>
                <w:color w:val="243746"/>
                <w:sz w:val="16"/>
              </w:rPr>
              <w:t>Security tests</w:t>
            </w:r>
          </w:p>
        </w:tc>
      </w:tr>
      <w:tr>
        <w:tc>
          <w:tcPr>
            <w:tcW w:type="dxa" w:w="208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Operational visibility</w:t>
            </w:r>
          </w:p>
        </w:tc>
        <w:tc>
          <w:tcPr>
            <w:tcW w:type="dxa" w:w="54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Users can filter stock, purchase orders, and movements by key dimensions.</w:t>
            </w:r>
          </w:p>
        </w:tc>
        <w:tc>
          <w:tcPr>
            <w:tcW w:type="dxa" w:w="26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UAT checklist</w:t>
            </w:r>
          </w:p>
        </w:tc>
      </w:tr>
    </w:tbl>
    <w:p>
      <w:pPr>
        <w:spacing w:after="0"/>
      </w:pPr>
    </w:p>
    <w:p>
      <w:pPr>
        <w:pStyle w:val="Heading1"/>
      </w:pPr>
      <w:r>
        <w:t>3. Scope</w:t>
      </w:r>
    </w:p>
    <w:p>
      <w:pPr>
        <w:pStyle w:val="Heading2"/>
      </w:pPr>
      <w:r>
        <w:t>3.1 In scope</w:t>
      </w:r>
    </w:p>
    <w:p>
      <w:pPr>
        <w:pStyle w:val="ListBullet"/>
        <w:spacing w:after="40"/>
        <w:ind w:left="360" w:hanging="216"/>
      </w:pPr>
      <w:r>
        <w:t>Responsive browser-based web application for desktop and tablet; phone layout is usable for lookup but no barcode scanning workflow is required in this release.</w:t>
      </w:r>
    </w:p>
    <w:p>
      <w:pPr>
        <w:pStyle w:val="ListBullet"/>
        <w:spacing w:after="40"/>
        <w:ind w:left="360" w:hanging="216"/>
      </w:pPr>
      <w:r>
        <w:t>Product catalogue, supplier directory, warehouse directory, user roles, warehouse access assignments, stock balances, and movement ledger.</w:t>
      </w:r>
    </w:p>
    <w:p>
      <w:pPr>
        <w:pStyle w:val="ListBullet"/>
        <w:spacing w:after="40"/>
        <w:ind w:left="360" w:hanging="216"/>
      </w:pPr>
      <w:r>
        <w:t>Purchase order draft, submission, approval, dispatch status, partial/full receiving, and closure.</w:t>
      </w:r>
    </w:p>
    <w:p>
      <w:pPr>
        <w:pStyle w:val="ListBullet"/>
        <w:spacing w:after="40"/>
        <w:ind w:left="360" w:hanging="216"/>
      </w:pPr>
      <w:r>
        <w:t>Stock transfer between warehouses, manual adjustment with reason and supervisor approval above a configurable threshold.</w:t>
      </w:r>
    </w:p>
    <w:p>
      <w:pPr>
        <w:pStyle w:val="ListBullet"/>
        <w:spacing w:after="40"/>
        <w:ind w:left="360" w:hanging="216"/>
      </w:pPr>
      <w:r>
        <w:t>CSV import for initial product and opening stock data, with validation preview and downloadable error file.</w:t>
      </w:r>
    </w:p>
    <w:p>
      <w:pPr>
        <w:pStyle w:val="ListBullet"/>
        <w:spacing w:after="40"/>
        <w:ind w:left="360" w:hanging="216"/>
      </w:pPr>
      <w:r>
        <w:t>CSV/Excel exports, search, filters, pagination, operational dashboard, backup, application logging, and deployment pipeline.</w:t>
      </w:r>
    </w:p>
    <w:p>
      <w:pPr>
        <w:pStyle w:val="Heading2"/>
      </w:pPr>
      <w:r>
        <w:t>3.2 Out of scope</w:t>
      </w:r>
    </w:p>
    <w:p>
      <w:pPr>
        <w:pStyle w:val="ListBullet"/>
        <w:spacing w:after="40"/>
        <w:ind w:left="360" w:hanging="216"/>
      </w:pPr>
      <w:r>
        <w:t>ERP, accounting, tax, invoice, payment, or bank integration.</w:t>
      </w:r>
    </w:p>
    <w:p>
      <w:pPr>
        <w:pStyle w:val="ListBullet"/>
        <w:spacing w:after="40"/>
        <w:ind w:left="360" w:hanging="216"/>
      </w:pPr>
      <w:r>
        <w:t>Supplier login, supplier self-service portal, online payment, shipping carrier, or marketplace integration.</w:t>
      </w:r>
    </w:p>
    <w:p>
      <w:pPr>
        <w:pStyle w:val="ListBullet"/>
        <w:spacing w:after="40"/>
        <w:ind w:left="360" w:hanging="216"/>
      </w:pPr>
      <w:r>
        <w:t>Demand forecasting or AI-driven replenishment.</w:t>
      </w:r>
    </w:p>
    <w:p>
      <w:pPr>
        <w:pStyle w:val="ListBullet"/>
        <w:spacing w:after="40"/>
        <w:ind w:left="360" w:hanging="216"/>
      </w:pPr>
      <w:r>
        <w:t>Lot/batch, expiry date, serial number, warranty, and regulated inventory tracking.</w:t>
      </w:r>
    </w:p>
    <w:p>
      <w:pPr>
        <w:pStyle w:val="ListBullet"/>
        <w:spacing w:after="40"/>
        <w:ind w:left="360" w:hanging="216"/>
      </w:pPr>
      <w:r>
        <w:t>Offline data capture, hardware scanners, automated warehouse conveyor systems, and advanced costing.</w:t>
      </w:r>
    </w:p>
    <w:p>
      <w:pPr>
        <w:pStyle w:val="ListBullet"/>
        <w:spacing w:after="40"/>
        <w:ind w:left="360" w:hanging="216"/>
      </w:pPr>
      <w:r>
        <w:t>Multi-currency purchase order calculations; one reporting currency and one base unit of measure are used in the first release.</w:t>
      </w:r>
    </w:p>
    <w:p>
      <w:pPr>
        <w:pStyle w:val="Heading1"/>
      </w:pPr>
      <w:r>
        <w:t>4. Stakeholders and User Roles</w:t>
      </w:r>
    </w:p>
    <w:tbl>
      <w:tblPr>
        <w:tblStyle w:val="TableGrid"/>
        <w:tblW w:type="auto" w:w="0"/>
        <w:jc w:val="center"/>
        <w:tblLayout w:type="fixed"/>
        <w:tblLook w:firstColumn="1" w:firstRow="1" w:lastColumn="0" w:lastRow="0" w:noHBand="0" w:noVBand="1" w:val="04A0"/>
      </w:tblPr>
      <w:tblGrid>
        <w:gridCol w:w="1800"/>
        <w:gridCol w:w="4824"/>
        <w:gridCol w:w="3744"/>
      </w:tblGrid>
      <w:tr>
        <w:trPr>
          <w:tblHeader w:val="true"/>
        </w:trPr>
        <w:tc>
          <w:tcPr>
            <w:tcW w:type="dxa" w:w="1800"/>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Role</w:t>
            </w:r>
          </w:p>
        </w:tc>
        <w:tc>
          <w:tcPr>
            <w:tcW w:type="dxa" w:w="4824"/>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Responsibilities</w:t>
            </w:r>
          </w:p>
        </w:tc>
        <w:tc>
          <w:tcPr>
            <w:tcW w:type="dxa" w:w="3744"/>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Permissions</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6"/>
              </w:rPr>
              <w:t>Warehouse operator</w:t>
            </w:r>
          </w:p>
        </w:tc>
        <w:tc>
          <w:tcPr>
            <w:tcW w:type="dxa" w:w="4824"/>
            <w:vAlign w:val="center"/>
            <w:tcMar>
              <w:top w:w="80" w:type="dxa"/>
              <w:start w:w="100" w:type="dxa"/>
              <w:bottom w:w="80" w:type="dxa"/>
              <w:end w:w="100" w:type="dxa"/>
            </w:tcMar>
          </w:tcPr>
          <w:p>
            <w:pPr>
              <w:spacing w:after="0" w:before="0" w:line="240" w:lineRule="auto"/>
            </w:pPr>
            <w:r/>
            <w:r>
              <w:rPr>
                <w:rFonts w:ascii="Aptos" w:hAnsi="Aptos"/>
                <w:b w:val="0"/>
                <w:color w:val="243746"/>
                <w:sz w:val="16"/>
              </w:rPr>
              <w:t>Receive goods, record stock transfers, search stock, view assigned warehouse movements.</w:t>
            </w:r>
          </w:p>
        </w:tc>
        <w:tc>
          <w:tcPr>
            <w:tcW w:type="dxa" w:w="3744"/>
            <w:vAlign w:val="center"/>
            <w:tcMar>
              <w:top w:w="80" w:type="dxa"/>
              <w:start w:w="100" w:type="dxa"/>
              <w:bottom w:w="80" w:type="dxa"/>
              <w:end w:w="100" w:type="dxa"/>
            </w:tcMar>
          </w:tcPr>
          <w:p>
            <w:pPr>
              <w:spacing w:after="0" w:before="0" w:line="240" w:lineRule="auto"/>
            </w:pPr>
            <w:r/>
            <w:r>
              <w:rPr>
                <w:rFonts w:ascii="Aptos" w:hAnsi="Aptos"/>
                <w:b w:val="0"/>
                <w:color w:val="243746"/>
                <w:sz w:val="16"/>
              </w:rPr>
              <w:t>Transactions for assigned warehouse; no master approval</w:t>
            </w:r>
          </w:p>
        </w:tc>
      </w:tr>
      <w:tr>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Procurement officer</w:t>
            </w:r>
          </w:p>
        </w:tc>
        <w:tc>
          <w:tcPr>
            <w:tcW w:type="dxa" w:w="482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Manage suppliers, draft purchase orders, submit orders, monitor open orders.</w:t>
            </w:r>
          </w:p>
        </w:tc>
        <w:tc>
          <w:tcPr>
            <w:tcW w:type="dxa" w:w="374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Purchase order create/update; no final approval above threshold</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6"/>
              </w:rPr>
              <w:t>Procurement manager</w:t>
            </w:r>
          </w:p>
        </w:tc>
        <w:tc>
          <w:tcPr>
            <w:tcW w:type="dxa" w:w="4824"/>
            <w:vAlign w:val="center"/>
            <w:tcMar>
              <w:top w:w="80" w:type="dxa"/>
              <w:start w:w="100" w:type="dxa"/>
              <w:bottom w:w="80" w:type="dxa"/>
              <w:end w:w="100" w:type="dxa"/>
            </w:tcMar>
          </w:tcPr>
          <w:p>
            <w:pPr>
              <w:spacing w:after="0" w:before="0" w:line="240" w:lineRule="auto"/>
            </w:pPr>
            <w:r/>
            <w:r>
              <w:rPr>
                <w:rFonts w:ascii="Aptos" w:hAnsi="Aptos"/>
                <w:b w:val="0"/>
                <w:color w:val="243746"/>
                <w:sz w:val="16"/>
              </w:rPr>
              <w:t>Approve/reject purchase orders and high-value or exception adjustments.</w:t>
            </w:r>
          </w:p>
        </w:tc>
        <w:tc>
          <w:tcPr>
            <w:tcW w:type="dxa" w:w="3744"/>
            <w:vAlign w:val="center"/>
            <w:tcMar>
              <w:top w:w="80" w:type="dxa"/>
              <w:start w:w="100" w:type="dxa"/>
              <w:bottom w:w="80" w:type="dxa"/>
              <w:end w:w="100" w:type="dxa"/>
            </w:tcMar>
          </w:tcPr>
          <w:p>
            <w:pPr>
              <w:spacing w:after="0" w:before="0" w:line="240" w:lineRule="auto"/>
            </w:pPr>
            <w:r/>
            <w:r>
              <w:rPr>
                <w:rFonts w:ascii="Aptos" w:hAnsi="Aptos"/>
                <w:b w:val="0"/>
                <w:color w:val="243746"/>
                <w:sz w:val="16"/>
              </w:rPr>
              <w:t>Approval actions and cross-warehouse visibility</w:t>
            </w:r>
          </w:p>
        </w:tc>
      </w:tr>
      <w:tr>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Inventory controller</w:t>
            </w:r>
          </w:p>
        </w:tc>
        <w:tc>
          <w:tcPr>
            <w:tcW w:type="dxa" w:w="482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Maintain products, reorder points, opening balances, and authorized adjustments.</w:t>
            </w:r>
          </w:p>
        </w:tc>
        <w:tc>
          <w:tcPr>
            <w:tcW w:type="dxa" w:w="374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Master data plus controlled stock maintenance</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6"/>
              </w:rPr>
              <w:t>Operations manager</w:t>
            </w:r>
          </w:p>
        </w:tc>
        <w:tc>
          <w:tcPr>
            <w:tcW w:type="dxa" w:w="4824"/>
            <w:vAlign w:val="center"/>
            <w:tcMar>
              <w:top w:w="80" w:type="dxa"/>
              <w:start w:w="100" w:type="dxa"/>
              <w:bottom w:w="80" w:type="dxa"/>
              <w:end w:w="100" w:type="dxa"/>
            </w:tcMar>
          </w:tcPr>
          <w:p>
            <w:pPr>
              <w:spacing w:after="0" w:before="0" w:line="240" w:lineRule="auto"/>
            </w:pPr>
            <w:r/>
            <w:r>
              <w:rPr>
                <w:rFonts w:ascii="Aptos" w:hAnsi="Aptos"/>
                <w:b w:val="0"/>
                <w:color w:val="243746"/>
                <w:sz w:val="16"/>
              </w:rPr>
              <w:t>Review all warehouses and operational reports.</w:t>
            </w:r>
          </w:p>
        </w:tc>
        <w:tc>
          <w:tcPr>
            <w:tcW w:type="dxa" w:w="3744"/>
            <w:vAlign w:val="center"/>
            <w:tcMar>
              <w:top w:w="80" w:type="dxa"/>
              <w:start w:w="100" w:type="dxa"/>
              <w:bottom w:w="80" w:type="dxa"/>
              <w:end w:w="100" w:type="dxa"/>
            </w:tcMar>
          </w:tcPr>
          <w:p>
            <w:pPr>
              <w:spacing w:after="0" w:before="0" w:line="240" w:lineRule="auto"/>
            </w:pPr>
            <w:r/>
            <w:r>
              <w:rPr>
                <w:rFonts w:ascii="Aptos" w:hAnsi="Aptos"/>
                <w:b w:val="0"/>
                <w:color w:val="243746"/>
                <w:sz w:val="16"/>
              </w:rPr>
              <w:t>Read-only cross-warehouse data</w:t>
            </w:r>
          </w:p>
        </w:tc>
      </w:tr>
      <w:tr>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System administrator</w:t>
            </w:r>
          </w:p>
        </w:tc>
        <w:tc>
          <w:tcPr>
            <w:tcW w:type="dxa" w:w="482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Manage user access, reference data configuration, deployment and support.</w:t>
            </w:r>
          </w:p>
        </w:tc>
        <w:tc>
          <w:tcPr>
            <w:tcW w:type="dxa" w:w="374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Administrative functions; stock changes remain audited</w:t>
            </w:r>
          </w:p>
        </w:tc>
      </w:tr>
    </w:tbl>
    <w:p>
      <w:pPr>
        <w:spacing w:after="0"/>
      </w:pPr>
    </w:p>
    <w:p>
      <w:pPr>
        <w:pStyle w:val="Heading1"/>
      </w:pPr>
      <w:r>
        <w:t>5. Current and Future State</w:t>
      </w:r>
    </w:p>
    <w:p>
      <w:pPr>
        <w:pStyle w:val="Heading2"/>
      </w:pPr>
      <w:r>
        <w:t>5.1 Current state</w:t>
      </w:r>
    </w:p>
    <w:p>
      <w:r>
        <w:t>Product lists, stock counts, receiving notes, and purchase order statuses are maintained in spreadsheets and email. There is no immutable transaction ledger or system-enforced relationship between a purchase order and its receipts.</w:t>
      </w:r>
    </w:p>
    <w:p>
      <w:pPr>
        <w:pStyle w:val="Heading2"/>
      </w:pPr>
      <w:r>
        <w:t>5.2 Future-state journey</w:t>
      </w:r>
    </w:p>
    <w:p>
      <w:pPr>
        <w:pStyle w:val="ListBullet"/>
        <w:spacing w:after="40"/>
        <w:ind w:left="360" w:hanging="216"/>
      </w:pPr>
      <w:r>
        <w:t>An authorized user creates or imports a product and assigns reorder point, base unit, supplier options, and active status.</w:t>
      </w:r>
    </w:p>
    <w:p>
      <w:pPr>
        <w:pStyle w:val="ListBullet"/>
        <w:spacing w:after="40"/>
        <w:ind w:left="360" w:hanging="216"/>
      </w:pPr>
      <w:r>
        <w:t>Procurement drafts a purchase order with supplier and lines, then submits it to the manager based on the configured approval threshold.</w:t>
      </w:r>
    </w:p>
    <w:p>
      <w:pPr>
        <w:pStyle w:val="ListBullet"/>
        <w:spacing w:after="40"/>
        <w:ind w:left="360" w:hanging="216"/>
      </w:pPr>
      <w:r>
        <w:t>After approval, the purchase order is issued outside the system and its status moves to Sent to Supplier.</w:t>
      </w:r>
    </w:p>
    <w:p>
      <w:pPr>
        <w:pStyle w:val="ListBullet"/>
        <w:spacing w:after="40"/>
        <w:ind w:left="360" w:hanging="216"/>
      </w:pPr>
      <w:r>
        <w:t>Warehouse staff select an open purchase order and record each receipt; stock increases only for accepted quantities.</w:t>
      </w:r>
    </w:p>
    <w:p>
      <w:pPr>
        <w:pStyle w:val="ListBullet"/>
        <w:spacing w:after="40"/>
        <w:ind w:left="360" w:hanging="216"/>
      </w:pPr>
      <w:r>
        <w:t>An authorized stock transfer creates a paired outbound and inbound movement linked by a single transfer reference.</w:t>
      </w:r>
    </w:p>
    <w:p>
      <w:pPr>
        <w:pStyle w:val="ListBullet"/>
        <w:spacing w:after="40"/>
        <w:ind w:left="360" w:hanging="216"/>
      </w:pPr>
      <w:r>
        <w:t>The dashboard highlights stock below reorder point, open/overdue purchase orders, and recent adjustments.</w:t>
      </w:r>
    </w:p>
    <w:p>
      <w:pPr>
        <w:pStyle w:val="Heading1"/>
      </w:pPr>
      <w:r>
        <w:t>6. Functional Requirements</w:t>
      </w:r>
    </w:p>
    <w:tbl>
      <w:tblPr>
        <w:tblStyle w:val="TableGrid"/>
        <w:tblW w:type="auto" w:w="0"/>
        <w:jc w:val="center"/>
        <w:tblLayout w:type="fixed"/>
        <w:tblLook w:firstColumn="1" w:firstRow="1" w:lastColumn="0" w:lastRow="0" w:noHBand="0" w:noVBand="1" w:val="04A0"/>
      </w:tblPr>
      <w:tblGrid>
        <w:gridCol w:w="792"/>
        <w:gridCol w:w="1656"/>
        <w:gridCol w:w="6552"/>
        <w:gridCol w:w="1080"/>
      </w:tblGrid>
      <w:tr>
        <w:trPr>
          <w:tblHeader w:val="true"/>
        </w:trPr>
        <w:tc>
          <w:tcPr>
            <w:tcW w:type="dxa" w:w="792"/>
            <w:vAlign w:val="center"/>
            <w:tcMar>
              <w:top w:w="80" w:type="dxa"/>
              <w:start w:w="100" w:type="dxa"/>
              <w:bottom w:w="80" w:type="dxa"/>
              <w:end w:w="100" w:type="dxa"/>
            </w:tcMar>
            <w:shd w:fill="163B5C"/>
          </w:tcPr>
          <w:p>
            <w:pPr>
              <w:spacing w:after="0" w:before="0" w:line="240" w:lineRule="auto"/>
            </w:pPr>
            <w:r/>
            <w:r>
              <w:rPr>
                <w:rFonts w:ascii="Aptos" w:hAnsi="Aptos"/>
                <w:b/>
                <w:color w:val="FFFFFF"/>
                <w:sz w:val="14"/>
              </w:rPr>
              <w:t>ID</w:t>
            </w:r>
          </w:p>
        </w:tc>
        <w:tc>
          <w:tcPr>
            <w:tcW w:type="dxa" w:w="1656"/>
            <w:vAlign w:val="center"/>
            <w:tcMar>
              <w:top w:w="80" w:type="dxa"/>
              <w:start w:w="100" w:type="dxa"/>
              <w:bottom w:w="80" w:type="dxa"/>
              <w:end w:w="100" w:type="dxa"/>
            </w:tcMar>
            <w:shd w:fill="163B5C"/>
          </w:tcPr>
          <w:p>
            <w:pPr>
              <w:spacing w:after="0" w:before="0" w:line="240" w:lineRule="auto"/>
            </w:pPr>
            <w:r/>
            <w:r>
              <w:rPr>
                <w:rFonts w:ascii="Aptos" w:hAnsi="Aptos"/>
                <w:b/>
                <w:color w:val="FFFFFF"/>
                <w:sz w:val="14"/>
              </w:rPr>
              <w:t>Capability</w:t>
            </w:r>
          </w:p>
        </w:tc>
        <w:tc>
          <w:tcPr>
            <w:tcW w:type="dxa" w:w="6552"/>
            <w:vAlign w:val="center"/>
            <w:tcMar>
              <w:top w:w="80" w:type="dxa"/>
              <w:start w:w="100" w:type="dxa"/>
              <w:bottom w:w="80" w:type="dxa"/>
              <w:end w:w="100" w:type="dxa"/>
            </w:tcMar>
            <w:shd w:fill="163B5C"/>
          </w:tcPr>
          <w:p>
            <w:pPr>
              <w:spacing w:after="0" w:before="0" w:line="240" w:lineRule="auto"/>
            </w:pPr>
            <w:r/>
            <w:r>
              <w:rPr>
                <w:rFonts w:ascii="Aptos" w:hAnsi="Aptos"/>
                <w:b/>
                <w:color w:val="FFFFFF"/>
                <w:sz w:val="14"/>
              </w:rPr>
              <w:t>Requirement</w:t>
            </w:r>
          </w:p>
        </w:tc>
        <w:tc>
          <w:tcPr>
            <w:tcW w:type="dxa" w:w="1080"/>
            <w:vAlign w:val="center"/>
            <w:tcMar>
              <w:top w:w="80" w:type="dxa"/>
              <w:start w:w="100" w:type="dxa"/>
              <w:bottom w:w="80" w:type="dxa"/>
              <w:end w:w="100" w:type="dxa"/>
            </w:tcMar>
            <w:shd w:fill="163B5C"/>
          </w:tcPr>
          <w:p>
            <w:pPr>
              <w:spacing w:after="0" w:before="0" w:line="240" w:lineRule="auto"/>
            </w:pPr>
            <w:r/>
            <w:r>
              <w:rPr>
                <w:rFonts w:ascii="Aptos" w:hAnsi="Aptos"/>
                <w:b/>
                <w:color w:val="FFFFFF"/>
                <w:sz w:val="14"/>
              </w:rPr>
              <w:t>Priority</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4"/>
              </w:rPr>
              <w:t>FR-01</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4"/>
              </w:rPr>
              <w:t>Authentication</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4"/>
              </w:rPr>
              <w:t>Authenticate users through the organization identity provider; user access is granted by assigned application role and active status.</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FR-02</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Product catalogue</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Create, view, edit, deactivate, and search products with unique SKU, name, category, base unit, reorder point, preferred supplier, and active flag.</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4"/>
              </w:rPr>
              <w:t>FR-03</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4"/>
              </w:rPr>
              <w:t>Supplier directory</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4"/>
              </w:rPr>
              <w:t>Maintain supplier name, unique supplier code, contact information, status, and notes. No supplier login is provided.</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FR-04</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Warehouse setup</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Maintain three initial warehouses with code, name, address, and active status; support future addition through configuration.</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4"/>
              </w:rPr>
              <w:t>FR-05</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4"/>
              </w:rPr>
              <w:t>Opening balances</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4"/>
              </w:rPr>
              <w:t>Import product and warehouse opening balances from CSV with preview, duplicate detection, row-level validation, and a downloadable error report.</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FR-06</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Stock ledger</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Persist every stock movement with product, warehouse, quantity, movement type, reference, actor, timestamp, and optional comment. Posted transactions are corrected through reversal, not silent overwrite.</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4"/>
              </w:rPr>
              <w:t>FR-07</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4"/>
              </w:rPr>
              <w:t>Purchase order draft</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4"/>
              </w:rPr>
              <w:t>Create purchase orders with supplier, requested date, expected delivery date, currency fixed to configured base currency, line item, quantity, unit price, and notes.</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FR-08</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PO approvals</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Route purchase orders to a manager when submitted. Orders above the configurable approval value require procurement manager approval; self-approval is prohibited.</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4"/>
              </w:rPr>
              <w:t>FR-09</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4"/>
              </w:rPr>
              <w:t>PO revision</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4"/>
              </w:rPr>
              <w:t>Approved purchase orders cannot be changed silently. Material changes require revision and reapproval; the prior version remains accessible.</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FR-10</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Goods receiving</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Receive all or part of an approved purchase order. Record received, rejected, and accepted quantities separately. Stock increases by accepted quantity only.</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4"/>
              </w:rPr>
              <w:t>FR-11</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4"/>
              </w:rPr>
              <w:t>Over-receipt control</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4"/>
              </w:rPr>
              <w:t>Block accepted quantity that exceeds the remaining open PO quantity by default. An authorized manager may approve an exception with reason.</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FR-12</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Purchase order status</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Maintain Draft, Pending Approval, Approved, Sent, Partially Received, Fully Received, Cancelled, and Closed states. Derive receiving status from line quantities.</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4"/>
              </w:rPr>
              <w:t>FR-13</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4"/>
              </w:rPr>
              <w:t>Stock transfer</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4"/>
              </w:rPr>
              <w:t>Transfer stock between active warehouses using available quantity checks and a transfer record with outbound/inbound movements committed consistently.</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FR-14</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Stock adjustment</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Allow adjustment requests with reason and evidence reference. Adjustments over the configured quantity/value threshold require approval.</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4"/>
              </w:rPr>
              <w:t>FR-15</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4"/>
              </w:rPr>
              <w:t>Availability calculation</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4"/>
              </w:rPr>
              <w:t>Display on-hand, reserved quantity (reserved is zero in the first release), and available quantity per product and warehouse.</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FR-16</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Reorder visibility</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Flag items when stock is at or below the product/warehouse reorder point. Generate a review list; do not automatically create purchase orders.</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4"/>
              </w:rPr>
              <w:t>FR-17</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4"/>
              </w:rPr>
              <w:t>Search and reporting</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4"/>
              </w:rPr>
              <w:t>Search/filter product, supplier, stock, purchase order, receipt, transfer, and adjustment data; export authorized result sets to CSV/Excel.</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FR-18</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Notifications</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Send email for purchase order approval, rejection, approval completion, and overdue expected receipt. Reminder frequency is configurable.</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Should</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4"/>
              </w:rPr>
              <w:t>FR-19</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4"/>
              </w:rPr>
              <w:t>Administration</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4"/>
              </w:rPr>
              <w:t>Manage users, roles, warehouse assignments, thresholds, notification settings, and reference statuses without code changes where practical.</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FR-20</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Audit history</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Expose before/after values for changes to critical master fields and the full history of approval and stock movement events.</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Must</w:t>
            </w:r>
          </w:p>
        </w:tc>
      </w:tr>
    </w:tbl>
    <w:p>
      <w:pPr>
        <w:spacing w:after="0"/>
      </w:pPr>
    </w:p>
    <w:p>
      <w:pPr>
        <w:pStyle w:val="Heading1"/>
      </w:pPr>
      <w:r>
        <w:t>7. Business Rules and Decision Logic</w:t>
      </w:r>
    </w:p>
    <w:p>
      <w:pPr>
        <w:pStyle w:val="Heading2"/>
      </w:pPr>
      <w:r>
        <w:t>7.1 Stock quantity rules</w:t>
      </w:r>
    </w:p>
    <w:p>
      <w:pPr>
        <w:pStyle w:val="ListBullet"/>
        <w:spacing w:after="40"/>
        <w:ind w:left="360" w:hanging="216"/>
      </w:pPr>
      <w:r>
        <w:t>Posted stock movement quantities must be greater than zero; movement direction is determined by movement type.</w:t>
      </w:r>
    </w:p>
    <w:p>
      <w:pPr>
        <w:pStyle w:val="ListBullet"/>
        <w:spacing w:after="40"/>
        <w:ind w:left="360" w:hanging="216"/>
      </w:pPr>
      <w:r>
        <w:t>A stock issue or outbound transfer cannot exceed available on-hand quantity at transaction commit time. Negative stock is not permitted.</w:t>
      </w:r>
    </w:p>
    <w:p>
      <w:pPr>
        <w:pStyle w:val="ListBullet"/>
        <w:spacing w:after="40"/>
        <w:ind w:left="360" w:hanging="216"/>
      </w:pPr>
      <w:r>
        <w:t>A transfer reduces source stock and increases destination stock as one logical operation; partial failure must not leave one side posted.</w:t>
      </w:r>
    </w:p>
    <w:p>
      <w:pPr>
        <w:pStyle w:val="ListBullet"/>
        <w:spacing w:after="40"/>
        <w:ind w:left="360" w:hanging="216"/>
      </w:pPr>
      <w:r>
        <w:t>Opening balance import is permitted only during controlled initialization or an authorized inventory migration window.</w:t>
      </w:r>
    </w:p>
    <w:p>
      <w:pPr>
        <w:pStyle w:val="ListBullet"/>
        <w:spacing w:after="40"/>
        <w:ind w:left="360" w:hanging="216"/>
      </w:pPr>
      <w:r>
        <w:t>Stock movement records are immutable after posting; corrections require an auditable reversal and replacement.</w:t>
      </w:r>
    </w:p>
    <w:p>
      <w:pPr>
        <w:pStyle w:val="Heading2"/>
      </w:pPr>
      <w:r>
        <w:t>7.2 Purchase order rules</w:t>
      </w:r>
    </w:p>
    <w:p>
      <w:pPr>
        <w:pStyle w:val="ListBullet"/>
        <w:spacing w:after="40"/>
        <w:ind w:left="360" w:hanging="216"/>
      </w:pPr>
      <w:r>
        <w:t>A purchase order cannot be submitted without supplier, at least one valid line, a positive quantity, unit price, and expected delivery date.</w:t>
      </w:r>
    </w:p>
    <w:p>
      <w:pPr>
        <w:pStyle w:val="ListBullet"/>
        <w:spacing w:after="40"/>
        <w:ind w:left="360" w:hanging="216"/>
      </w:pPr>
      <w:r>
        <w:t>The submitter cannot approve their own purchase order.</w:t>
      </w:r>
    </w:p>
    <w:p>
      <w:pPr>
        <w:pStyle w:val="ListBullet"/>
        <w:spacing w:after="40"/>
        <w:ind w:left="360" w:hanging="216"/>
      </w:pPr>
      <w:r>
        <w:t>A draft can be edited freely; a submitted order requires withdrawal before editing; an approved order requires revision/reapproval for material changes.</w:t>
      </w:r>
    </w:p>
    <w:p>
      <w:pPr>
        <w:pStyle w:val="ListBullet"/>
        <w:spacing w:after="40"/>
        <w:ind w:left="360" w:hanging="216"/>
      </w:pPr>
      <w:r>
        <w:t>A purchase order is Fully Received when each non-cancelled line has accepted quantity equal to the ordered quantity; otherwise it remains Partially Received or open.</w:t>
      </w:r>
    </w:p>
    <w:p>
      <w:pPr>
        <w:pStyle w:val="ListBullet"/>
        <w:spacing w:after="40"/>
        <w:ind w:left="360" w:hanging="216"/>
      </w:pPr>
      <w:r>
        <w:t>Purchase order total is calculated from line quantities and unit prices; tax, landed cost, and accounting postings are not calculated.</w:t>
      </w:r>
    </w:p>
    <w:p>
      <w:pPr>
        <w:pStyle w:val="Heading2"/>
      </w:pPr>
      <w:r>
        <w:t>7.3 Stock balance formula</w:t>
      </w:r>
    </w:p>
    <w:p>
      <w:r>
        <w:t>On-hand quantity for a product and warehouse equals opening quantity plus accepted receipts plus inbound transfers plus positive adjustments, minus issues, outbound transfers, and negative adjustments. Rejected receipt quantities do not increase stock.</w:t>
      </w:r>
    </w:p>
    <w:p>
      <w:pPr>
        <w:pStyle w:val="Heading1"/>
      </w:pPr>
      <w:r>
        <w:t>8. Data and API Requirements</w:t>
      </w:r>
    </w:p>
    <w:p>
      <w:pPr>
        <w:pStyle w:val="Heading2"/>
      </w:pPr>
      <w:r>
        <w:t>8.1 Core entities</w:t>
      </w:r>
    </w:p>
    <w:tbl>
      <w:tblPr>
        <w:tblStyle w:val="TableGrid"/>
        <w:tblW w:type="auto" w:w="0"/>
        <w:jc w:val="center"/>
        <w:tblLayout w:type="fixed"/>
        <w:tblLook w:firstColumn="1" w:firstRow="1" w:lastColumn="0" w:lastRow="0" w:noHBand="0" w:noVBand="1" w:val="04A0"/>
      </w:tblPr>
      <w:tblGrid>
        <w:gridCol w:w="1800"/>
        <w:gridCol w:w="4536"/>
        <w:gridCol w:w="3744"/>
      </w:tblGrid>
      <w:tr>
        <w:trPr>
          <w:tblHeader w:val="true"/>
        </w:trPr>
        <w:tc>
          <w:tcPr>
            <w:tcW w:type="dxa" w:w="1800"/>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Entity</w:t>
            </w:r>
          </w:p>
        </w:tc>
        <w:tc>
          <w:tcPr>
            <w:tcW w:type="dxa" w:w="4536"/>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Key fields</w:t>
            </w:r>
          </w:p>
        </w:tc>
        <w:tc>
          <w:tcPr>
            <w:tcW w:type="dxa" w:w="3744"/>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Constraints</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Product</w:t>
            </w:r>
          </w:p>
        </w:tc>
        <w:tc>
          <w:tcPr>
            <w:tcW w:type="dxa" w:w="4536"/>
            <w:vAlign w:val="center"/>
            <w:tcMar>
              <w:top w:w="80" w:type="dxa"/>
              <w:start w:w="100" w:type="dxa"/>
              <w:bottom w:w="80" w:type="dxa"/>
              <w:end w:w="100" w:type="dxa"/>
            </w:tcMar>
          </w:tcPr>
          <w:p>
            <w:pPr>
              <w:spacing w:after="0" w:before="0" w:line="240" w:lineRule="auto"/>
            </w:pPr>
            <w:r/>
            <w:r>
              <w:rPr>
                <w:rFonts w:ascii="Aptos" w:hAnsi="Aptos"/>
                <w:b w:val="0"/>
                <w:color w:val="243746"/>
                <w:sz w:val="15"/>
              </w:rPr>
              <w:t>SKU, name, category, base unit, reorder point, active flag</w:t>
            </w:r>
          </w:p>
        </w:tc>
        <w:tc>
          <w:tcPr>
            <w:tcW w:type="dxa" w:w="3744"/>
            <w:vAlign w:val="center"/>
            <w:tcMar>
              <w:top w:w="80" w:type="dxa"/>
              <w:start w:w="100" w:type="dxa"/>
              <w:bottom w:w="80" w:type="dxa"/>
              <w:end w:w="100" w:type="dxa"/>
            </w:tcMar>
          </w:tcPr>
          <w:p>
            <w:pPr>
              <w:spacing w:after="0" w:before="0" w:line="240" w:lineRule="auto"/>
            </w:pPr>
            <w:r/>
            <w:r>
              <w:rPr>
                <w:rFonts w:ascii="Aptos" w:hAnsi="Aptos"/>
                <w:b w:val="0"/>
                <w:color w:val="243746"/>
                <w:sz w:val="15"/>
              </w:rPr>
              <w:t>SKU unique; deactivation retained in historical references.</w:t>
            </w:r>
          </w:p>
        </w:tc>
      </w:tr>
      <w:tr>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Supplier</w:t>
            </w:r>
          </w:p>
        </w:tc>
        <w:tc>
          <w:tcPr>
            <w:tcW w:type="dxa" w:w="453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Supplier code, name, contact, active flag</w:t>
            </w:r>
          </w:p>
        </w:tc>
        <w:tc>
          <w:tcPr>
            <w:tcW w:type="dxa" w:w="374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Supplier code unique.</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Warehouse</w:t>
            </w:r>
          </w:p>
        </w:tc>
        <w:tc>
          <w:tcPr>
            <w:tcW w:type="dxa" w:w="4536"/>
            <w:vAlign w:val="center"/>
            <w:tcMar>
              <w:top w:w="80" w:type="dxa"/>
              <w:start w:w="100" w:type="dxa"/>
              <w:bottom w:w="80" w:type="dxa"/>
              <w:end w:w="100" w:type="dxa"/>
            </w:tcMar>
          </w:tcPr>
          <w:p>
            <w:pPr>
              <w:spacing w:after="0" w:before="0" w:line="240" w:lineRule="auto"/>
            </w:pPr>
            <w:r/>
            <w:r>
              <w:rPr>
                <w:rFonts w:ascii="Aptos" w:hAnsi="Aptos"/>
                <w:b w:val="0"/>
                <w:color w:val="243746"/>
                <w:sz w:val="15"/>
              </w:rPr>
              <w:t>Warehouse code, name, active flag</w:t>
            </w:r>
          </w:p>
        </w:tc>
        <w:tc>
          <w:tcPr>
            <w:tcW w:type="dxa" w:w="3744"/>
            <w:vAlign w:val="center"/>
            <w:tcMar>
              <w:top w:w="80" w:type="dxa"/>
              <w:start w:w="100" w:type="dxa"/>
              <w:bottom w:w="80" w:type="dxa"/>
              <w:end w:w="100" w:type="dxa"/>
            </w:tcMar>
          </w:tcPr>
          <w:p>
            <w:pPr>
              <w:spacing w:after="0" w:before="0" w:line="240" w:lineRule="auto"/>
            </w:pPr>
            <w:r/>
            <w:r>
              <w:rPr>
                <w:rFonts w:ascii="Aptos" w:hAnsi="Aptos"/>
                <w:b w:val="0"/>
                <w:color w:val="243746"/>
                <w:sz w:val="15"/>
              </w:rPr>
              <w:t>Warehouse code unique.</w:t>
            </w:r>
          </w:p>
        </w:tc>
      </w:tr>
      <w:tr>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Stock Balance</w:t>
            </w:r>
          </w:p>
        </w:tc>
        <w:tc>
          <w:tcPr>
            <w:tcW w:type="dxa" w:w="453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Product, warehouse, on-hand quantity, updated timestamp</w:t>
            </w:r>
          </w:p>
        </w:tc>
        <w:tc>
          <w:tcPr>
            <w:tcW w:type="dxa" w:w="374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Unique product/warehouse pair; derived from ledger and/or controlled cached balance.</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Stock Movement</w:t>
            </w:r>
          </w:p>
        </w:tc>
        <w:tc>
          <w:tcPr>
            <w:tcW w:type="dxa" w:w="4536"/>
            <w:vAlign w:val="center"/>
            <w:tcMar>
              <w:top w:w="80" w:type="dxa"/>
              <w:start w:w="100" w:type="dxa"/>
              <w:bottom w:w="80" w:type="dxa"/>
              <w:end w:w="100" w:type="dxa"/>
            </w:tcMar>
          </w:tcPr>
          <w:p>
            <w:pPr>
              <w:spacing w:after="0" w:before="0" w:line="240" w:lineRule="auto"/>
            </w:pPr>
            <w:r/>
            <w:r>
              <w:rPr>
                <w:rFonts w:ascii="Aptos" w:hAnsi="Aptos"/>
                <w:b w:val="0"/>
                <w:color w:val="243746"/>
                <w:sz w:val="15"/>
              </w:rPr>
              <w:t>Movement ID, type, product, warehouse, quantity, reference, actor, timestamp</w:t>
            </w:r>
          </w:p>
        </w:tc>
        <w:tc>
          <w:tcPr>
            <w:tcW w:type="dxa" w:w="3744"/>
            <w:vAlign w:val="center"/>
            <w:tcMar>
              <w:top w:w="80" w:type="dxa"/>
              <w:start w:w="100" w:type="dxa"/>
              <w:bottom w:w="80" w:type="dxa"/>
              <w:end w:w="100" w:type="dxa"/>
            </w:tcMar>
          </w:tcPr>
          <w:p>
            <w:pPr>
              <w:spacing w:after="0" w:before="0" w:line="240" w:lineRule="auto"/>
            </w:pPr>
            <w:r/>
            <w:r>
              <w:rPr>
                <w:rFonts w:ascii="Aptos" w:hAnsi="Aptos"/>
                <w:b w:val="0"/>
                <w:color w:val="243746"/>
                <w:sz w:val="15"/>
              </w:rPr>
              <w:t>Immutable posted event; idempotency key for write requests.</w:t>
            </w:r>
          </w:p>
        </w:tc>
      </w:tr>
      <w:tr>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Purchase Order</w:t>
            </w:r>
          </w:p>
        </w:tc>
        <w:tc>
          <w:tcPr>
            <w:tcW w:type="dxa" w:w="453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PO number, supplier, dates, status, submitter, approver, revision number</w:t>
            </w:r>
          </w:p>
        </w:tc>
        <w:tc>
          <w:tcPr>
            <w:tcW w:type="dxa" w:w="374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PO number unique; revisions retain prior approved snapshots.</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PO Line / Receipt</w:t>
            </w:r>
          </w:p>
        </w:tc>
        <w:tc>
          <w:tcPr>
            <w:tcW w:type="dxa" w:w="4536"/>
            <w:vAlign w:val="center"/>
            <w:tcMar>
              <w:top w:w="80" w:type="dxa"/>
              <w:start w:w="100" w:type="dxa"/>
              <w:bottom w:w="80" w:type="dxa"/>
              <w:end w:w="100" w:type="dxa"/>
            </w:tcMar>
          </w:tcPr>
          <w:p>
            <w:pPr>
              <w:spacing w:after="0" w:before="0" w:line="240" w:lineRule="auto"/>
            </w:pPr>
            <w:r/>
            <w:r>
              <w:rPr>
                <w:rFonts w:ascii="Aptos" w:hAnsi="Aptos"/>
                <w:b w:val="0"/>
                <w:color w:val="243746"/>
                <w:sz w:val="15"/>
              </w:rPr>
              <w:t>PO, product, ordered quantity, accepted/rejected quantity, unit price</w:t>
            </w:r>
          </w:p>
        </w:tc>
        <w:tc>
          <w:tcPr>
            <w:tcW w:type="dxa" w:w="3744"/>
            <w:vAlign w:val="center"/>
            <w:tcMar>
              <w:top w:w="80" w:type="dxa"/>
              <w:start w:w="100" w:type="dxa"/>
              <w:bottom w:w="80" w:type="dxa"/>
              <w:end w:w="100" w:type="dxa"/>
            </w:tcMar>
          </w:tcPr>
          <w:p>
            <w:pPr>
              <w:spacing w:after="0" w:before="0" w:line="240" w:lineRule="auto"/>
            </w:pPr>
            <w:r/>
            <w:r>
              <w:rPr>
                <w:rFonts w:ascii="Aptos" w:hAnsi="Aptos"/>
                <w:b w:val="0"/>
                <w:color w:val="243746"/>
                <w:sz w:val="15"/>
              </w:rPr>
              <w:t>Accepted + rejected cannot exceed received quantity; over-receipt exception is explicit.</w:t>
            </w:r>
          </w:p>
        </w:tc>
      </w:tr>
      <w:tr>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Approval Event</w:t>
            </w:r>
          </w:p>
        </w:tc>
        <w:tc>
          <w:tcPr>
            <w:tcW w:type="dxa" w:w="453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Record reference, stage, decision, actor, timestamp, comment</w:t>
            </w:r>
          </w:p>
        </w:tc>
        <w:tc>
          <w:tcPr>
            <w:tcW w:type="dxa" w:w="374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Append-only history.</w:t>
            </w:r>
          </w:p>
        </w:tc>
      </w:tr>
    </w:tbl>
    <w:p>
      <w:pPr>
        <w:spacing w:after="0"/>
      </w:pPr>
    </w:p>
    <w:p>
      <w:pPr>
        <w:pStyle w:val="Heading2"/>
      </w:pPr>
      <w:r>
        <w:t>8.2 Application interfaces</w:t>
      </w:r>
    </w:p>
    <w:p>
      <w:pPr>
        <w:pStyle w:val="ListBullet"/>
        <w:spacing w:after="40"/>
        <w:ind w:left="360" w:hanging="216"/>
      </w:pPr>
      <w:r>
        <w:t>The web client calls a versioned REST API; business rules and permissions are enforced by the server.</w:t>
      </w:r>
    </w:p>
    <w:p>
      <w:pPr>
        <w:pStyle w:val="ListBullet"/>
        <w:spacing w:after="40"/>
        <w:ind w:left="360" w:hanging="216"/>
      </w:pPr>
      <w:r>
        <w:t>The API validates quantities and current stock in a transaction to prevent concurrent overselling or duplicate receipt posting.</w:t>
      </w:r>
    </w:p>
    <w:p>
      <w:pPr>
        <w:pStyle w:val="ListBullet"/>
        <w:spacing w:after="40"/>
        <w:ind w:left="360" w:hanging="216"/>
      </w:pPr>
      <w:r>
        <w:t>CSV import must be staged and validated before committing; one invalid row must not silently disappear from the import result.</w:t>
      </w:r>
    </w:p>
    <w:p>
      <w:pPr>
        <w:pStyle w:val="ListBullet"/>
        <w:spacing w:after="40"/>
        <w:ind w:left="360" w:hanging="216"/>
      </w:pPr>
      <w:r>
        <w:t>No third-party business API is required for the first release. Email delivery may use the organization SMTP/provider service configured by IT.</w:t>
      </w:r>
    </w:p>
    <w:p>
      <w:pPr>
        <w:pStyle w:val="Heading1"/>
      </w:pPr>
      <w:r>
        <w:t>9. Non-Functional Requirements</w:t>
      </w:r>
    </w:p>
    <w:tbl>
      <w:tblPr>
        <w:tblStyle w:val="TableGrid"/>
        <w:tblW w:type="auto" w:w="0"/>
        <w:jc w:val="center"/>
        <w:tblLayout w:type="fixed"/>
        <w:tblLook w:firstColumn="1" w:firstRow="1" w:lastColumn="0" w:lastRow="0" w:noHBand="0" w:noVBand="1" w:val="04A0"/>
      </w:tblPr>
      <w:tblGrid>
        <w:gridCol w:w="1008"/>
        <w:gridCol w:w="1800"/>
        <w:gridCol w:w="7272"/>
      </w:tblGrid>
      <w:tr>
        <w:trPr>
          <w:tblHeader w:val="true"/>
        </w:trPr>
        <w:tc>
          <w:tcPr>
            <w:tcW w:type="dxa" w:w="1008"/>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ID</w:t>
            </w:r>
          </w:p>
        </w:tc>
        <w:tc>
          <w:tcPr>
            <w:tcW w:type="dxa" w:w="1800"/>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Area</w:t>
            </w:r>
          </w:p>
        </w:tc>
        <w:tc>
          <w:tcPr>
            <w:tcW w:type="dxa" w:w="7272"/>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Requirement</w:t>
            </w:r>
          </w:p>
        </w:tc>
      </w:tr>
      <w:tr>
        <w:tc>
          <w:tcPr>
            <w:tcW w:type="dxa" w:w="1008"/>
            <w:vAlign w:val="center"/>
            <w:tcMar>
              <w:top w:w="80" w:type="dxa"/>
              <w:start w:w="100" w:type="dxa"/>
              <w:bottom w:w="80" w:type="dxa"/>
              <w:end w:w="100" w:type="dxa"/>
            </w:tcMar>
          </w:tcPr>
          <w:p>
            <w:pPr>
              <w:spacing w:after="0" w:before="0" w:line="240" w:lineRule="auto"/>
            </w:pPr>
            <w:r/>
            <w:r>
              <w:rPr>
                <w:rFonts w:ascii="Aptos" w:hAnsi="Aptos"/>
                <w:b w:val="0"/>
                <w:color w:val="243746"/>
                <w:sz w:val="15"/>
              </w:rPr>
              <w:t>NFR-01</w:t>
            </w:r>
          </w:p>
        </w:tc>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Performance</w:t>
            </w:r>
          </w:p>
        </w:tc>
        <w:tc>
          <w:tcPr>
            <w:tcW w:type="dxa" w:w="7272"/>
            <w:vAlign w:val="center"/>
            <w:tcMar>
              <w:top w:w="80" w:type="dxa"/>
              <w:start w:w="100" w:type="dxa"/>
              <w:bottom w:w="80" w:type="dxa"/>
              <w:end w:w="100" w:type="dxa"/>
            </w:tcMar>
          </w:tcPr>
          <w:p>
            <w:pPr>
              <w:spacing w:after="0" w:before="0" w:line="240" w:lineRule="auto"/>
            </w:pPr>
            <w:r/>
            <w:r>
              <w:rPr>
                <w:rFonts w:ascii="Aptos" w:hAnsi="Aptos"/>
                <w:b w:val="0"/>
                <w:color w:val="243746"/>
                <w:sz w:val="15"/>
              </w:rPr>
              <w:t>For up to 80 named users and 20 concurrent users, standard list/search pages should render within 3 seconds at the 95th percentile under the agreed test dataset.</w:t>
            </w:r>
          </w:p>
        </w:tc>
      </w:tr>
      <w:tr>
        <w:tc>
          <w:tcPr>
            <w:tcW w:type="dxa" w:w="100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NFR-02</w:t>
            </w:r>
          </w:p>
        </w:tc>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Data integrity</w:t>
            </w:r>
          </w:p>
        </w:tc>
        <w:tc>
          <w:tcPr>
            <w:tcW w:type="dxa" w:w="72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Receipt, transfer, adjustment, and issue operations must be atomic and safe against duplicate submission.</w:t>
            </w:r>
          </w:p>
        </w:tc>
      </w:tr>
      <w:tr>
        <w:tc>
          <w:tcPr>
            <w:tcW w:type="dxa" w:w="1008"/>
            <w:vAlign w:val="center"/>
            <w:tcMar>
              <w:top w:w="80" w:type="dxa"/>
              <w:start w:w="100" w:type="dxa"/>
              <w:bottom w:w="80" w:type="dxa"/>
              <w:end w:w="100" w:type="dxa"/>
            </w:tcMar>
          </w:tcPr>
          <w:p>
            <w:pPr>
              <w:spacing w:after="0" w:before="0" w:line="240" w:lineRule="auto"/>
            </w:pPr>
            <w:r/>
            <w:r>
              <w:rPr>
                <w:rFonts w:ascii="Aptos" w:hAnsi="Aptos"/>
                <w:b w:val="0"/>
                <w:color w:val="243746"/>
                <w:sz w:val="15"/>
              </w:rPr>
              <w:t>NFR-03</w:t>
            </w:r>
          </w:p>
        </w:tc>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Security</w:t>
            </w:r>
          </w:p>
        </w:tc>
        <w:tc>
          <w:tcPr>
            <w:tcW w:type="dxa" w:w="7272"/>
            <w:vAlign w:val="center"/>
            <w:tcMar>
              <w:top w:w="80" w:type="dxa"/>
              <w:start w:w="100" w:type="dxa"/>
              <w:bottom w:w="80" w:type="dxa"/>
              <w:end w:w="100" w:type="dxa"/>
            </w:tcMar>
          </w:tcPr>
          <w:p>
            <w:pPr>
              <w:spacing w:after="0" w:before="0" w:line="240" w:lineRule="auto"/>
            </w:pPr>
            <w:r/>
            <w:r>
              <w:rPr>
                <w:rFonts w:ascii="Aptos" w:hAnsi="Aptos"/>
                <w:b w:val="0"/>
                <w:color w:val="243746"/>
                <w:sz w:val="15"/>
              </w:rPr>
              <w:t>All endpoints require authentication; server-side authorization applies to every read and write. Secrets must not be stored in client code.</w:t>
            </w:r>
          </w:p>
        </w:tc>
      </w:tr>
      <w:tr>
        <w:tc>
          <w:tcPr>
            <w:tcW w:type="dxa" w:w="100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NFR-04</w:t>
            </w:r>
          </w:p>
        </w:tc>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Usability</w:t>
            </w:r>
          </w:p>
        </w:tc>
        <w:tc>
          <w:tcPr>
            <w:tcW w:type="dxa" w:w="72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Desktop and tablet layouts support keyboard navigation, visible validation, clear status labels, and confirmation for irreversible posting actions.</w:t>
            </w:r>
          </w:p>
        </w:tc>
      </w:tr>
      <w:tr>
        <w:tc>
          <w:tcPr>
            <w:tcW w:type="dxa" w:w="1008"/>
            <w:vAlign w:val="center"/>
            <w:tcMar>
              <w:top w:w="80" w:type="dxa"/>
              <w:start w:w="100" w:type="dxa"/>
              <w:bottom w:w="80" w:type="dxa"/>
              <w:end w:w="100" w:type="dxa"/>
            </w:tcMar>
          </w:tcPr>
          <w:p>
            <w:pPr>
              <w:spacing w:after="0" w:before="0" w:line="240" w:lineRule="auto"/>
            </w:pPr>
            <w:r/>
            <w:r>
              <w:rPr>
                <w:rFonts w:ascii="Aptos" w:hAnsi="Aptos"/>
                <w:b w:val="0"/>
                <w:color w:val="243746"/>
                <w:sz w:val="15"/>
              </w:rPr>
              <w:t>NFR-05</w:t>
            </w:r>
          </w:p>
        </w:tc>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Audit</w:t>
            </w:r>
          </w:p>
        </w:tc>
        <w:tc>
          <w:tcPr>
            <w:tcW w:type="dxa" w:w="7272"/>
            <w:vAlign w:val="center"/>
            <w:tcMar>
              <w:top w:w="80" w:type="dxa"/>
              <w:start w:w="100" w:type="dxa"/>
              <w:bottom w:w="80" w:type="dxa"/>
              <w:end w:w="100" w:type="dxa"/>
            </w:tcMar>
          </w:tcPr>
          <w:p>
            <w:pPr>
              <w:spacing w:after="0" w:before="0" w:line="240" w:lineRule="auto"/>
            </w:pPr>
            <w:r/>
            <w:r>
              <w:rPr>
                <w:rFonts w:ascii="Aptos" w:hAnsi="Aptos"/>
                <w:b w:val="0"/>
                <w:color w:val="243746"/>
                <w:sz w:val="15"/>
              </w:rPr>
              <w:t>Critical user actions and administrator changes retain actor and UTC timestamp; retention period is to be confirmed.</w:t>
            </w:r>
          </w:p>
        </w:tc>
      </w:tr>
      <w:tr>
        <w:tc>
          <w:tcPr>
            <w:tcW w:type="dxa" w:w="100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NFR-06</w:t>
            </w:r>
          </w:p>
        </w:tc>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Backup and recovery</w:t>
            </w:r>
          </w:p>
        </w:tc>
        <w:tc>
          <w:tcPr>
            <w:tcW w:type="dxa" w:w="72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Database backup schedule and restoration procedure are documented. Recovery objectives are to be agreed with IT.</w:t>
            </w:r>
          </w:p>
        </w:tc>
      </w:tr>
      <w:tr>
        <w:tc>
          <w:tcPr>
            <w:tcW w:type="dxa" w:w="1008"/>
            <w:vAlign w:val="center"/>
            <w:tcMar>
              <w:top w:w="80" w:type="dxa"/>
              <w:start w:w="100" w:type="dxa"/>
              <w:bottom w:w="80" w:type="dxa"/>
              <w:end w:w="100" w:type="dxa"/>
            </w:tcMar>
          </w:tcPr>
          <w:p>
            <w:pPr>
              <w:spacing w:after="0" w:before="0" w:line="240" w:lineRule="auto"/>
            </w:pPr>
            <w:r/>
            <w:r>
              <w:rPr>
                <w:rFonts w:ascii="Aptos" w:hAnsi="Aptos"/>
                <w:b w:val="0"/>
                <w:color w:val="243746"/>
                <w:sz w:val="15"/>
              </w:rPr>
              <w:t>NFR-07</w:t>
            </w:r>
          </w:p>
        </w:tc>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Observability</w:t>
            </w:r>
          </w:p>
        </w:tc>
        <w:tc>
          <w:tcPr>
            <w:tcW w:type="dxa" w:w="7272"/>
            <w:vAlign w:val="center"/>
            <w:tcMar>
              <w:top w:w="80" w:type="dxa"/>
              <w:start w:w="100" w:type="dxa"/>
              <w:bottom w:w="80" w:type="dxa"/>
              <w:end w:w="100" w:type="dxa"/>
            </w:tcMar>
          </w:tcPr>
          <w:p>
            <w:pPr>
              <w:spacing w:after="0" w:before="0" w:line="240" w:lineRule="auto"/>
            </w:pPr>
            <w:r/>
            <w:r>
              <w:rPr>
                <w:rFonts w:ascii="Aptos" w:hAnsi="Aptos"/>
                <w:b w:val="0"/>
                <w:color w:val="243746"/>
                <w:sz w:val="15"/>
              </w:rPr>
              <w:t>Structured application logs include correlation IDs, without logging passwords, tokens, or unnecessary personal data.</w:t>
            </w:r>
          </w:p>
        </w:tc>
      </w:tr>
      <w:tr>
        <w:tc>
          <w:tcPr>
            <w:tcW w:type="dxa" w:w="100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NFR-08</w:t>
            </w:r>
          </w:p>
        </w:tc>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Maintainability</w:t>
            </w:r>
          </w:p>
        </w:tc>
        <w:tc>
          <w:tcPr>
            <w:tcW w:type="dxa" w:w="72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Environments and configuration are separated; schema migrations are version-controlled and repeatable.</w:t>
            </w:r>
          </w:p>
        </w:tc>
      </w:tr>
      <w:tr>
        <w:tc>
          <w:tcPr>
            <w:tcW w:type="dxa" w:w="1008"/>
            <w:vAlign w:val="center"/>
            <w:tcMar>
              <w:top w:w="80" w:type="dxa"/>
              <w:start w:w="100" w:type="dxa"/>
              <w:bottom w:w="80" w:type="dxa"/>
              <w:end w:w="100" w:type="dxa"/>
            </w:tcMar>
          </w:tcPr>
          <w:p>
            <w:pPr>
              <w:spacing w:after="0" w:before="0" w:line="240" w:lineRule="auto"/>
            </w:pPr>
            <w:r/>
            <w:r>
              <w:rPr>
                <w:rFonts w:ascii="Aptos" w:hAnsi="Aptos"/>
                <w:b w:val="0"/>
                <w:color w:val="243746"/>
                <w:sz w:val="15"/>
              </w:rPr>
              <w:t>NFR-09</w:t>
            </w:r>
          </w:p>
        </w:tc>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Compatibility</w:t>
            </w:r>
          </w:p>
        </w:tc>
        <w:tc>
          <w:tcPr>
            <w:tcW w:type="dxa" w:w="7272"/>
            <w:vAlign w:val="center"/>
            <w:tcMar>
              <w:top w:w="80" w:type="dxa"/>
              <w:start w:w="100" w:type="dxa"/>
              <w:bottom w:w="80" w:type="dxa"/>
              <w:end w:w="100" w:type="dxa"/>
            </w:tcMar>
          </w:tcPr>
          <w:p>
            <w:pPr>
              <w:spacing w:after="0" w:before="0" w:line="240" w:lineRule="auto"/>
            </w:pPr>
            <w:r/>
            <w:r>
              <w:rPr>
                <w:rFonts w:ascii="Aptos" w:hAnsi="Aptos"/>
                <w:b w:val="0"/>
                <w:color w:val="243746"/>
                <w:sz w:val="15"/>
              </w:rPr>
              <w:t>Support the latest two stable versions of Chrome and Edge on supported desktop operating systems.</w:t>
            </w:r>
          </w:p>
        </w:tc>
      </w:tr>
    </w:tbl>
    <w:p>
      <w:pPr>
        <w:spacing w:after="0"/>
      </w:pPr>
    </w:p>
    <w:p>
      <w:pPr>
        <w:pStyle w:val="Heading1"/>
      </w:pPr>
      <w:r>
        <w:t>10. Security, Integration, Reporting, and Compliance</w:t>
      </w:r>
    </w:p>
    <w:p>
      <w:pPr>
        <w:pStyle w:val="Heading2"/>
      </w:pPr>
      <w:r>
        <w:t>10.1 Security</w:t>
      </w:r>
    </w:p>
    <w:p>
      <w:pPr>
        <w:pStyle w:val="ListBullet"/>
        <w:spacing w:after="40"/>
        <w:ind w:left="360" w:hanging="216"/>
      </w:pPr>
      <w:r>
        <w:t>Role-based authorization is enforced by the API, not merely by hiding UI buttons.</w:t>
      </w:r>
    </w:p>
    <w:p>
      <w:pPr>
        <w:pStyle w:val="ListBullet"/>
        <w:spacing w:after="40"/>
        <w:ind w:left="360" w:hanging="216"/>
      </w:pPr>
      <w:r>
        <w:t>Warehouse operators are restricted to assigned warehouses except where cross-warehouse transfer requires access to both endpoints.</w:t>
      </w:r>
    </w:p>
    <w:p>
      <w:pPr>
        <w:pStyle w:val="ListBullet"/>
        <w:spacing w:after="40"/>
        <w:ind w:left="360" w:hanging="216"/>
      </w:pPr>
      <w:r>
        <w:t>Administrative actions, approvals, and stock adjustments are auditable.</w:t>
      </w:r>
    </w:p>
    <w:p>
      <w:pPr>
        <w:pStyle w:val="ListBullet"/>
        <w:spacing w:after="40"/>
        <w:ind w:left="360" w:hanging="216"/>
      </w:pPr>
      <w:r>
        <w:t>Production data exports are limited to authorized roles and should not expose secrets or authentication data.</w:t>
      </w:r>
    </w:p>
    <w:p>
      <w:pPr>
        <w:pStyle w:val="Heading2"/>
      </w:pPr>
      <w:r>
        <w:t>10.2 Integration and migration</w:t>
      </w:r>
    </w:p>
    <w:p>
      <w:r>
        <w:t>No ERP integration is part of the first release. Initial product and opening stock data will be supplied as CSV using a validated template. The business must approve duplicate handling, SKU normalization, supplier matching, and opening-balance reconciliation before the final import.</w:t>
      </w:r>
    </w:p>
    <w:p>
      <w:pPr>
        <w:pStyle w:val="Heading2"/>
      </w:pPr>
      <w:r>
        <w:t>10.3 Reporting</w:t>
      </w:r>
    </w:p>
    <w:p>
      <w:r>
        <w:t>The dashboard includes stock below reorder point, stock by warehouse/category, open purchase orders, expected receipts overdue, and recent adjustments. Advanced BI modelling and financial reporting are excluded.</w:t>
      </w:r>
    </w:p>
    <w:p>
      <w:pPr>
        <w:pStyle w:val="Heading1"/>
      </w:pPr>
      <w:r>
        <w:t>11. Assumptions, Dependencies, Constraints, and Risks</w:t>
      </w:r>
    </w:p>
    <w:p>
      <w:pPr>
        <w:pStyle w:val="Heading2"/>
      </w:pPr>
      <w:r>
        <w:t>11.1 Assumptions</w:t>
      </w:r>
    </w:p>
    <w:p>
      <w:pPr>
        <w:pStyle w:val="ListBullet"/>
        <w:spacing w:after="40"/>
        <w:ind w:left="360" w:hanging="216"/>
      </w:pPr>
      <w:r>
        <w:t>Three warehouses are active at go-live; future warehouses can be configured without schema redesign.</w:t>
      </w:r>
    </w:p>
    <w:p>
      <w:pPr>
        <w:pStyle w:val="ListBullet"/>
        <w:spacing w:after="40"/>
        <w:ind w:left="360" w:hanging="216"/>
      </w:pPr>
      <w:r>
        <w:t>The business has a defined base currency, unit-of-measure catalogue, and approval-value threshold.</w:t>
      </w:r>
    </w:p>
    <w:p>
      <w:pPr>
        <w:pStyle w:val="ListBullet"/>
        <w:spacing w:after="40"/>
        <w:ind w:left="360" w:hanging="216"/>
      </w:pPr>
      <w:r>
        <w:t>Only simple count-based inventory is required; no lot, serial, expiry, or reservation behaviour.</w:t>
      </w:r>
    </w:p>
    <w:p>
      <w:pPr>
        <w:pStyle w:val="ListBullet"/>
        <w:spacing w:after="40"/>
        <w:ind w:left="360" w:hanging="216"/>
      </w:pPr>
      <w:r>
        <w:t>Email is the approved notification channel.</w:t>
      </w:r>
    </w:p>
    <w:p>
      <w:pPr>
        <w:pStyle w:val="Heading2"/>
      </w:pPr>
      <w:r>
        <w:t>11.2 Dependencies and constraints</w:t>
      </w:r>
    </w:p>
    <w:p>
      <w:pPr>
        <w:pStyle w:val="ListBullet"/>
        <w:spacing w:after="40"/>
        <w:ind w:left="360" w:hanging="216"/>
      </w:pPr>
      <w:r>
        <w:t>Approved hosting account, domain, TLS certificate, environment secrets, database, backup and monitoring ownership.</w:t>
      </w:r>
    </w:p>
    <w:p>
      <w:pPr>
        <w:pStyle w:val="ListBullet"/>
        <w:spacing w:after="40"/>
        <w:ind w:left="360" w:hanging="216"/>
      </w:pPr>
      <w:r>
        <w:t>Representative product/supplier/opening-balance files and named users for UAT.</w:t>
      </w:r>
    </w:p>
    <w:p>
      <w:pPr>
        <w:pStyle w:val="ListBullet"/>
        <w:spacing w:after="40"/>
        <w:ind w:left="360" w:hanging="216"/>
      </w:pPr>
      <w:r>
        <w:t>Business decision on whether stock balances are derived live from ledger events or maintained as transactional cached totals.</w:t>
      </w:r>
    </w:p>
    <w:p>
      <w:pPr>
        <w:pStyle w:val="ListBullet"/>
        <w:spacing w:after="40"/>
        <w:ind w:left="360" w:hanging="216"/>
      </w:pPr>
      <w:r>
        <w:t>Decision on retention, RPO/RTO, and who can authorize exceptional adjustments.</w:t>
      </w:r>
    </w:p>
    <w:p>
      <w:pPr>
        <w:pStyle w:val="Heading2"/>
      </w:pPr>
      <w:r>
        <w:t>11.3 Risks and mitigations</w:t>
      </w:r>
    </w:p>
    <w:tbl>
      <w:tblPr>
        <w:tblStyle w:val="TableGrid"/>
        <w:tblW w:type="auto" w:w="0"/>
        <w:jc w:val="center"/>
        <w:tblLayout w:type="fixed"/>
        <w:tblLook w:firstColumn="1" w:firstRow="1" w:lastColumn="0" w:lastRow="0" w:noHBand="0" w:noVBand="1" w:val="04A0"/>
      </w:tblPr>
      <w:tblGrid>
        <w:gridCol w:w="2376"/>
        <w:gridCol w:w="3816"/>
        <w:gridCol w:w="3816"/>
      </w:tblGrid>
      <w:tr>
        <w:trPr>
          <w:tblHeader w:val="true"/>
        </w:trPr>
        <w:tc>
          <w:tcPr>
            <w:tcW w:type="dxa" w:w="2376"/>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Risk</w:t>
            </w:r>
          </w:p>
        </w:tc>
        <w:tc>
          <w:tcPr>
            <w:tcW w:type="dxa" w:w="3816"/>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Impact</w:t>
            </w:r>
          </w:p>
        </w:tc>
        <w:tc>
          <w:tcPr>
            <w:tcW w:type="dxa" w:w="3816"/>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Mitigation</w:t>
            </w:r>
          </w:p>
        </w:tc>
      </w:tr>
      <w:tr>
        <w:tc>
          <w:tcPr>
            <w:tcW w:type="dxa" w:w="2376"/>
            <w:vAlign w:val="center"/>
            <w:tcMar>
              <w:top w:w="80" w:type="dxa"/>
              <w:start w:w="100" w:type="dxa"/>
              <w:bottom w:w="80" w:type="dxa"/>
              <w:end w:w="100" w:type="dxa"/>
            </w:tcMar>
          </w:tcPr>
          <w:p>
            <w:pPr>
              <w:spacing w:after="0" w:before="0" w:line="240" w:lineRule="auto"/>
            </w:pPr>
            <w:r/>
            <w:r>
              <w:rPr>
                <w:rFonts w:ascii="Aptos" w:hAnsi="Aptos"/>
                <w:b w:val="0"/>
                <w:color w:val="243746"/>
                <w:sz w:val="15"/>
              </w:rPr>
              <w:t>Poor source data quality</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color w:val="243746"/>
                <w:sz w:val="15"/>
              </w:rPr>
              <w:t>Duplicate products, mismatched suppliers, incorrect opening stock.</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color w:val="243746"/>
                <w:sz w:val="15"/>
              </w:rPr>
              <w:t>Template validation, duplicate report, reconciliation sign-off.</w:t>
            </w:r>
          </w:p>
        </w:tc>
      </w:tr>
      <w:tr>
        <w:tc>
          <w:tcPr>
            <w:tcW w:type="dxa" w:w="237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Concurrent receipt or issue</w:t>
            </w:r>
          </w:p>
        </w:tc>
        <w:tc>
          <w:tcPr>
            <w:tcW w:type="dxa" w:w="381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Stock oversold or duplicated.</w:t>
            </w:r>
          </w:p>
        </w:tc>
        <w:tc>
          <w:tcPr>
            <w:tcW w:type="dxa" w:w="381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Database transaction/locking strategy and concurrency tests.</w:t>
            </w:r>
          </w:p>
        </w:tc>
      </w:tr>
      <w:tr>
        <w:tc>
          <w:tcPr>
            <w:tcW w:type="dxa" w:w="2376"/>
            <w:vAlign w:val="center"/>
            <w:tcMar>
              <w:top w:w="80" w:type="dxa"/>
              <w:start w:w="100" w:type="dxa"/>
              <w:bottom w:w="80" w:type="dxa"/>
              <w:end w:w="100" w:type="dxa"/>
            </w:tcMar>
          </w:tcPr>
          <w:p>
            <w:pPr>
              <w:spacing w:after="0" w:before="0" w:line="240" w:lineRule="auto"/>
            </w:pPr>
            <w:r/>
            <w:r>
              <w:rPr>
                <w:rFonts w:ascii="Aptos" w:hAnsi="Aptos"/>
                <w:b w:val="0"/>
                <w:color w:val="243746"/>
                <w:sz w:val="15"/>
              </w:rPr>
              <w:t>Transfer partial failure</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color w:val="243746"/>
                <w:sz w:val="15"/>
              </w:rPr>
              <w:t>Source and destination balances diverge.</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color w:val="243746"/>
                <w:sz w:val="15"/>
              </w:rPr>
              <w:t>Atomic posting or compensating transaction with retry controls.</w:t>
            </w:r>
          </w:p>
        </w:tc>
      </w:tr>
      <w:tr>
        <w:tc>
          <w:tcPr>
            <w:tcW w:type="dxa" w:w="237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Scope expands to ERP/accounting</w:t>
            </w:r>
          </w:p>
        </w:tc>
        <w:tc>
          <w:tcPr>
            <w:tcW w:type="dxa" w:w="381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Schedule and architecture change materially.</w:t>
            </w:r>
          </w:p>
        </w:tc>
        <w:tc>
          <w:tcPr>
            <w:tcW w:type="dxa" w:w="381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Treat integration and accounting as separate approved phase.</w:t>
            </w:r>
          </w:p>
        </w:tc>
      </w:tr>
    </w:tbl>
    <w:p>
      <w:pPr>
        <w:spacing w:after="0"/>
      </w:pPr>
    </w:p>
    <w:p>
      <w:pPr>
        <w:pStyle w:val="Heading1"/>
      </w:pPr>
      <w:r>
        <w:t>12. Acceptance Criteria and Test Scenarios</w:t>
      </w:r>
    </w:p>
    <w:tbl>
      <w:tblPr>
        <w:tblStyle w:val="TableGrid"/>
        <w:tblW w:type="auto" w:w="0"/>
        <w:jc w:val="center"/>
        <w:tblLayout w:type="fixed"/>
        <w:tblLook w:firstColumn="1" w:firstRow="1" w:lastColumn="0" w:lastRow="0" w:noHBand="0" w:noVBand="1" w:val="04A0"/>
      </w:tblPr>
      <w:tblGrid>
        <w:gridCol w:w="864"/>
        <w:gridCol w:w="4104"/>
        <w:gridCol w:w="5184"/>
      </w:tblGrid>
      <w:tr>
        <w:trPr>
          <w:tblHeader w:val="true"/>
        </w:trPr>
        <w:tc>
          <w:tcPr>
            <w:tcW w:type="dxa" w:w="864"/>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ID</w:t>
            </w:r>
          </w:p>
        </w:tc>
        <w:tc>
          <w:tcPr>
            <w:tcW w:type="dxa" w:w="4104"/>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Scenario</w:t>
            </w:r>
          </w:p>
        </w:tc>
        <w:tc>
          <w:tcPr>
            <w:tcW w:type="dxa" w:w="5184"/>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Expected result</w:t>
            </w:r>
          </w:p>
        </w:tc>
      </w:tr>
      <w:tr>
        <w:tc>
          <w:tcPr>
            <w:tcW w:type="dxa" w:w="864"/>
            <w:vAlign w:val="center"/>
            <w:tcMar>
              <w:top w:w="80" w:type="dxa"/>
              <w:start w:w="100" w:type="dxa"/>
              <w:bottom w:w="80" w:type="dxa"/>
              <w:end w:w="100" w:type="dxa"/>
            </w:tcMar>
          </w:tcPr>
          <w:p>
            <w:pPr>
              <w:spacing w:after="0" w:before="0" w:line="240" w:lineRule="auto"/>
            </w:pPr>
            <w:r/>
            <w:r>
              <w:rPr>
                <w:rFonts w:ascii="Aptos" w:hAnsi="Aptos"/>
                <w:b w:val="0"/>
                <w:color w:val="243746"/>
                <w:sz w:val="15"/>
              </w:rPr>
              <w:t>AC-01</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5"/>
              </w:rPr>
              <w:t>Import CSV contains duplicate SKUs and invalid quantities.</w:t>
            </w:r>
          </w:p>
        </w:tc>
        <w:tc>
          <w:tcPr>
            <w:tcW w:type="dxa" w:w="5184"/>
            <w:vAlign w:val="center"/>
            <w:tcMar>
              <w:top w:w="80" w:type="dxa"/>
              <w:start w:w="100" w:type="dxa"/>
              <w:bottom w:w="80" w:type="dxa"/>
              <w:end w:w="100" w:type="dxa"/>
            </w:tcMar>
          </w:tcPr>
          <w:p>
            <w:pPr>
              <w:spacing w:after="0" w:before="0" w:line="240" w:lineRule="auto"/>
            </w:pPr>
            <w:r/>
            <w:r>
              <w:rPr>
                <w:rFonts w:ascii="Aptos" w:hAnsi="Aptos"/>
                <w:b w:val="0"/>
                <w:color w:val="243746"/>
                <w:sz w:val="15"/>
              </w:rPr>
              <w:t>Preview identifies each invalid row and provides a downloadable error file; invalid rows are not silently accepted.</w:t>
            </w:r>
          </w:p>
        </w:tc>
      </w:tr>
      <w:tr>
        <w:tc>
          <w:tcPr>
            <w:tcW w:type="dxa" w:w="8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AC-02</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Operator attempts to issue more stock than available.</w:t>
            </w:r>
          </w:p>
        </w:tc>
        <w:tc>
          <w:tcPr>
            <w:tcW w:type="dxa" w:w="518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Server rejects the movement and stock remains unchanged.</w:t>
            </w:r>
          </w:p>
        </w:tc>
      </w:tr>
      <w:tr>
        <w:tc>
          <w:tcPr>
            <w:tcW w:type="dxa" w:w="864"/>
            <w:vAlign w:val="center"/>
            <w:tcMar>
              <w:top w:w="80" w:type="dxa"/>
              <w:start w:w="100" w:type="dxa"/>
              <w:bottom w:w="80" w:type="dxa"/>
              <w:end w:w="100" w:type="dxa"/>
            </w:tcMar>
          </w:tcPr>
          <w:p>
            <w:pPr>
              <w:spacing w:after="0" w:before="0" w:line="240" w:lineRule="auto"/>
            </w:pPr>
            <w:r/>
            <w:r>
              <w:rPr>
                <w:rFonts w:ascii="Aptos" w:hAnsi="Aptos"/>
                <w:b w:val="0"/>
                <w:color w:val="243746"/>
                <w:sz w:val="15"/>
              </w:rPr>
              <w:t>AC-03</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5"/>
              </w:rPr>
              <w:t>Two users attempt to issue the final available units simultaneously.</w:t>
            </w:r>
          </w:p>
        </w:tc>
        <w:tc>
          <w:tcPr>
            <w:tcW w:type="dxa" w:w="5184"/>
            <w:vAlign w:val="center"/>
            <w:tcMar>
              <w:top w:w="80" w:type="dxa"/>
              <w:start w:w="100" w:type="dxa"/>
              <w:bottom w:w="80" w:type="dxa"/>
              <w:end w:w="100" w:type="dxa"/>
            </w:tcMar>
          </w:tcPr>
          <w:p>
            <w:pPr>
              <w:spacing w:after="0" w:before="0" w:line="240" w:lineRule="auto"/>
            </w:pPr>
            <w:r/>
            <w:r>
              <w:rPr>
                <w:rFonts w:ascii="Aptos" w:hAnsi="Aptos"/>
                <w:b w:val="0"/>
                <w:color w:val="243746"/>
                <w:sz w:val="15"/>
              </w:rPr>
              <w:t>At most one valid transaction succeeds; stock never becomes negative.</w:t>
            </w:r>
          </w:p>
        </w:tc>
      </w:tr>
      <w:tr>
        <w:tc>
          <w:tcPr>
            <w:tcW w:type="dxa" w:w="8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AC-04</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Purchase order exceeds the configured approval threshold.</w:t>
            </w:r>
          </w:p>
        </w:tc>
        <w:tc>
          <w:tcPr>
            <w:tcW w:type="dxa" w:w="518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It cannot move to Approved without a procurement manager decision.</w:t>
            </w:r>
          </w:p>
        </w:tc>
      </w:tr>
      <w:tr>
        <w:tc>
          <w:tcPr>
            <w:tcW w:type="dxa" w:w="864"/>
            <w:vAlign w:val="center"/>
            <w:tcMar>
              <w:top w:w="80" w:type="dxa"/>
              <w:start w:w="100" w:type="dxa"/>
              <w:bottom w:w="80" w:type="dxa"/>
              <w:end w:w="100" w:type="dxa"/>
            </w:tcMar>
          </w:tcPr>
          <w:p>
            <w:pPr>
              <w:spacing w:after="0" w:before="0" w:line="240" w:lineRule="auto"/>
            </w:pPr>
            <w:r/>
            <w:r>
              <w:rPr>
                <w:rFonts w:ascii="Aptos" w:hAnsi="Aptos"/>
                <w:b w:val="0"/>
                <w:color w:val="243746"/>
                <w:sz w:val="15"/>
              </w:rPr>
              <w:t>AC-05</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5"/>
              </w:rPr>
              <w:t>Submitter attempts to approve their own order.</w:t>
            </w:r>
          </w:p>
        </w:tc>
        <w:tc>
          <w:tcPr>
            <w:tcW w:type="dxa" w:w="5184"/>
            <w:vAlign w:val="center"/>
            <w:tcMar>
              <w:top w:w="80" w:type="dxa"/>
              <w:start w:w="100" w:type="dxa"/>
              <w:bottom w:w="80" w:type="dxa"/>
              <w:end w:w="100" w:type="dxa"/>
            </w:tcMar>
          </w:tcPr>
          <w:p>
            <w:pPr>
              <w:spacing w:after="0" w:before="0" w:line="240" w:lineRule="auto"/>
            </w:pPr>
            <w:r/>
            <w:r>
              <w:rPr>
                <w:rFonts w:ascii="Aptos" w:hAnsi="Aptos"/>
                <w:b w:val="0"/>
                <w:color w:val="243746"/>
                <w:sz w:val="15"/>
              </w:rPr>
              <w:t>System denies the self-approval action.</w:t>
            </w:r>
          </w:p>
        </w:tc>
      </w:tr>
      <w:tr>
        <w:tc>
          <w:tcPr>
            <w:tcW w:type="dxa" w:w="8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AC-06</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Receive less than the ordered quantity.</w:t>
            </w:r>
          </w:p>
        </w:tc>
        <w:tc>
          <w:tcPr>
            <w:tcW w:type="dxa" w:w="518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Accepted quantity increases stock and PO status becomes Partially Received.</w:t>
            </w:r>
          </w:p>
        </w:tc>
      </w:tr>
      <w:tr>
        <w:tc>
          <w:tcPr>
            <w:tcW w:type="dxa" w:w="864"/>
            <w:vAlign w:val="center"/>
            <w:tcMar>
              <w:top w:w="80" w:type="dxa"/>
              <w:start w:w="100" w:type="dxa"/>
              <w:bottom w:w="80" w:type="dxa"/>
              <w:end w:w="100" w:type="dxa"/>
            </w:tcMar>
          </w:tcPr>
          <w:p>
            <w:pPr>
              <w:spacing w:after="0" w:before="0" w:line="240" w:lineRule="auto"/>
            </w:pPr>
            <w:r/>
            <w:r>
              <w:rPr>
                <w:rFonts w:ascii="Aptos" w:hAnsi="Aptos"/>
                <w:b w:val="0"/>
                <w:color w:val="243746"/>
                <w:sz w:val="15"/>
              </w:rPr>
              <w:t>AC-07</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5"/>
              </w:rPr>
              <w:t>Attempt to receive more than remaining PO quantity.</w:t>
            </w:r>
          </w:p>
        </w:tc>
        <w:tc>
          <w:tcPr>
            <w:tcW w:type="dxa" w:w="5184"/>
            <w:vAlign w:val="center"/>
            <w:tcMar>
              <w:top w:w="80" w:type="dxa"/>
              <w:start w:w="100" w:type="dxa"/>
              <w:bottom w:w="80" w:type="dxa"/>
              <w:end w:w="100" w:type="dxa"/>
            </w:tcMar>
          </w:tcPr>
          <w:p>
            <w:pPr>
              <w:spacing w:after="0" w:before="0" w:line="240" w:lineRule="auto"/>
            </w:pPr>
            <w:r/>
            <w:r>
              <w:rPr>
                <w:rFonts w:ascii="Aptos" w:hAnsi="Aptos"/>
                <w:b w:val="0"/>
                <w:color w:val="243746"/>
                <w:sz w:val="15"/>
              </w:rPr>
              <w:t>System blocks the excess unless an authorized exception with reason is approved.</w:t>
            </w:r>
          </w:p>
        </w:tc>
      </w:tr>
      <w:tr>
        <w:tc>
          <w:tcPr>
            <w:tcW w:type="dxa" w:w="8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AC-08</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Transfer stock between warehouses.</w:t>
            </w:r>
          </w:p>
        </w:tc>
        <w:tc>
          <w:tcPr>
            <w:tcW w:type="dxa" w:w="518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Source decrease and destination increase share a transfer reference and are consistent.</w:t>
            </w:r>
          </w:p>
        </w:tc>
      </w:tr>
      <w:tr>
        <w:tc>
          <w:tcPr>
            <w:tcW w:type="dxa" w:w="864"/>
            <w:vAlign w:val="center"/>
            <w:tcMar>
              <w:top w:w="80" w:type="dxa"/>
              <w:start w:w="100" w:type="dxa"/>
              <w:bottom w:w="80" w:type="dxa"/>
              <w:end w:w="100" w:type="dxa"/>
            </w:tcMar>
          </w:tcPr>
          <w:p>
            <w:pPr>
              <w:spacing w:after="0" w:before="0" w:line="240" w:lineRule="auto"/>
            </w:pPr>
            <w:r/>
            <w:r>
              <w:rPr>
                <w:rFonts w:ascii="Aptos" w:hAnsi="Aptos"/>
                <w:b w:val="0"/>
                <w:color w:val="243746"/>
                <w:sz w:val="15"/>
              </w:rPr>
              <w:t>AC-09</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5"/>
              </w:rPr>
              <w:t>A posted movement needs correction.</w:t>
            </w:r>
          </w:p>
        </w:tc>
        <w:tc>
          <w:tcPr>
            <w:tcW w:type="dxa" w:w="5184"/>
            <w:vAlign w:val="center"/>
            <w:tcMar>
              <w:top w:w="80" w:type="dxa"/>
              <w:start w:w="100" w:type="dxa"/>
              <w:bottom w:w="80" w:type="dxa"/>
              <w:end w:w="100" w:type="dxa"/>
            </w:tcMar>
          </w:tcPr>
          <w:p>
            <w:pPr>
              <w:spacing w:after="0" w:before="0" w:line="240" w:lineRule="auto"/>
            </w:pPr>
            <w:r/>
            <w:r>
              <w:rPr>
                <w:rFonts w:ascii="Aptos" w:hAnsi="Aptos"/>
                <w:b w:val="0"/>
                <w:color w:val="243746"/>
                <w:sz w:val="15"/>
              </w:rPr>
              <w:t>Original remains visible; correction is recorded as reversal/replacement with actor and reason.</w:t>
            </w:r>
          </w:p>
        </w:tc>
      </w:tr>
      <w:tr>
        <w:tc>
          <w:tcPr>
            <w:tcW w:type="dxa" w:w="8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AC-10</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User requests a record outside their role/warehouse assignment through the API.</w:t>
            </w:r>
          </w:p>
        </w:tc>
        <w:tc>
          <w:tcPr>
            <w:tcW w:type="dxa" w:w="518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Server returns an authorization failure and does not disclose protected data.</w:t>
            </w:r>
          </w:p>
        </w:tc>
      </w:tr>
      <w:tr>
        <w:tc>
          <w:tcPr>
            <w:tcW w:type="dxa" w:w="864"/>
            <w:vAlign w:val="center"/>
            <w:tcMar>
              <w:top w:w="80" w:type="dxa"/>
              <w:start w:w="100" w:type="dxa"/>
              <w:bottom w:w="80" w:type="dxa"/>
              <w:end w:w="100" w:type="dxa"/>
            </w:tcMar>
          </w:tcPr>
          <w:p>
            <w:pPr>
              <w:spacing w:after="0" w:before="0" w:line="240" w:lineRule="auto"/>
            </w:pPr>
            <w:r/>
            <w:r>
              <w:rPr>
                <w:rFonts w:ascii="Aptos" w:hAnsi="Aptos"/>
                <w:b w:val="0"/>
                <w:color w:val="243746"/>
                <w:sz w:val="15"/>
              </w:rPr>
              <w:t>AC-11</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5"/>
              </w:rPr>
              <w:t>Stock reaches the reorder point.</w:t>
            </w:r>
          </w:p>
        </w:tc>
        <w:tc>
          <w:tcPr>
            <w:tcW w:type="dxa" w:w="5184"/>
            <w:vAlign w:val="center"/>
            <w:tcMar>
              <w:top w:w="80" w:type="dxa"/>
              <w:start w:w="100" w:type="dxa"/>
              <w:bottom w:w="80" w:type="dxa"/>
              <w:end w:w="100" w:type="dxa"/>
            </w:tcMar>
          </w:tcPr>
          <w:p>
            <w:pPr>
              <w:spacing w:after="0" w:before="0" w:line="240" w:lineRule="auto"/>
            </w:pPr>
            <w:r/>
            <w:r>
              <w:rPr>
                <w:rFonts w:ascii="Aptos" w:hAnsi="Aptos"/>
                <w:b w:val="0"/>
                <w:color w:val="243746"/>
                <w:sz w:val="15"/>
              </w:rPr>
              <w:t>Product appears in the replenishment review list; no purchase order is created automatically.</w:t>
            </w:r>
          </w:p>
        </w:tc>
      </w:tr>
      <w:tr>
        <w:tc>
          <w:tcPr>
            <w:tcW w:type="dxa" w:w="8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AC-12</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Export a filtered purchase order list.</w:t>
            </w:r>
          </w:p>
        </w:tc>
        <w:tc>
          <w:tcPr>
            <w:tcW w:type="dxa" w:w="518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Export respects filters and the caller’s access permissions.</w:t>
            </w:r>
          </w:p>
        </w:tc>
      </w:tr>
    </w:tbl>
    <w:p>
      <w:pPr>
        <w:spacing w:after="0"/>
      </w:pPr>
    </w:p>
    <w:p>
      <w:pPr>
        <w:pStyle w:val="Heading1"/>
      </w:pPr>
      <w:r>
        <w:t>13. Open Questions</w:t>
      </w:r>
    </w:p>
    <w:p>
      <w:pPr>
        <w:pStyle w:val="ListBullet"/>
        <w:spacing w:after="40"/>
        <w:ind w:left="360" w:hanging="216"/>
      </w:pPr>
      <w:r>
        <w:t>Which cloud provider, database engine, hosting tier, and CI/CD service are approved?</w:t>
      </w:r>
    </w:p>
    <w:p>
      <w:pPr>
        <w:pStyle w:val="ListBullet"/>
        <w:spacing w:after="40"/>
        <w:ind w:left="360" w:hanging="216"/>
      </w:pPr>
      <w:r>
        <w:t>What is the authoritative product/SKU naming standard and who owns data cleansing?</w:t>
      </w:r>
    </w:p>
    <w:p>
      <w:pPr>
        <w:pStyle w:val="ListBullet"/>
        <w:spacing w:after="40"/>
        <w:ind w:left="360" w:hanging="216"/>
      </w:pPr>
      <w:r>
        <w:t>What does “material PO change” mean for reapproval: quantity, price, supplier, date, or total-value threshold?</w:t>
      </w:r>
    </w:p>
    <w:p>
      <w:pPr>
        <w:pStyle w:val="ListBullet"/>
        <w:spacing w:after="40"/>
        <w:ind w:left="360" w:hanging="216"/>
      </w:pPr>
      <w:r>
        <w:t>What is the approval threshold for stock adjustments and purchase orders?</w:t>
      </w:r>
    </w:p>
    <w:p>
      <w:pPr>
        <w:pStyle w:val="ListBullet"/>
        <w:spacing w:after="40"/>
        <w:ind w:left="360" w:hanging="216"/>
      </w:pPr>
      <w:r>
        <w:t>What are required backup retention, recovery-point, and recovery-time objectives?</w:t>
      </w:r>
    </w:p>
    <w:p>
      <w:pPr>
        <w:pStyle w:val="ListBullet"/>
        <w:spacing w:after="40"/>
        <w:ind w:left="360" w:hanging="216"/>
      </w:pPr>
      <w:r>
        <w:t>Are purchase prices considered confidential and subject to field-level restrictions?</w:t>
      </w:r>
    </w:p>
    <w:p>
      <w:pPr>
        <w:pStyle w:val="ListBullet"/>
        <w:spacing w:after="40"/>
        <w:ind w:left="360" w:hanging="216"/>
      </w:pPr>
      <w:r>
        <w:t>Is the expected launch limited to three warehouses and 80 named users?</w:t>
      </w:r>
    </w:p>
    <w:p>
      <w:pPr>
        <w:pStyle w:val="Heading1"/>
      </w:pPr>
      <w:r>
        <w:t>14. Approval Readiness</w:t>
      </w:r>
    </w:p>
    <w:p>
      <w:r>
        <w:t>Solution design can begin after approval of deployment architecture, stock posting semantics, import data quality rules, and purchasing approval thresholds. Estimates and delivery dates are intentionally not asserted in this BRD.</w:t>
      </w:r>
    </w:p>
    <w:sectPr w:rsidR="00FC693F" w:rsidRPr="0006063C" w:rsidSect="00034616">
      <w:headerReference w:type="default" r:id="rId9"/>
      <w:footerReference w:type="default" r:id="rId10"/>
      <w:pgSz w:w="12240" w:h="15840"/>
      <w:pgMar w:top="979" w:right="1037" w:bottom="893" w:left="1037"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rFonts w:ascii="Aptos" w:hAnsi="Aptos"/>
        <w:color w:val="596B78"/>
        <w:sz w:val="16"/>
      </w:rPr>
      <w:t>Business requirements - draft for delivery estimation</w:t>
    </w:r>
  </w:p>
  <w:p>
    <w:pPr>
      <w:spacing w:before="0" w:after="0"/>
      <w:jc w:val="right"/>
    </w:pPr>
    <w:r>
      <w:rPr>
        <w:rFonts w:ascii="Aptos" w:hAnsi="Aptos"/>
        <w:color w:val="596B78"/>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8" w:space="4" w:color="2EA0D1"/>
      </w:pBdr>
    </w:pPr>
    <w:r/>
    <w:r>
      <w:rPr>
        <w:rFonts w:ascii="Aptos" w:hAnsi="Aptos"/>
        <w:b/>
        <w:color w:val="163B5C"/>
        <w:sz w:val="16"/>
      </w:rPr>
      <w:t>BUSINESS REQUIREMENTS DOCUMENT  |  WHOLESALE INVENTORY AND PROCUREMENT PORTAL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4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63B5C"/>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EA0D1"/>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63B5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63B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Wholesale Inventory and Procurement Portal</dc:title>
  <dc:subject>Synthetic BRD for effort-estimation model validation</dc:subject>
  <dc:creator>Business Analysis / Delivery Planning</dc:creator>
  <cp:keywords>BRD, project estimation, requirements, test scenario</cp:keywords>
  <dc:description>generated by python-docx</dc:description>
  <cp:lastModifiedBy/>
  <cp:revision>1</cp:revision>
  <dcterms:created xsi:type="dcterms:W3CDTF">2013-12-23T23:15:00Z</dcterms:created>
  <dcterms:modified xsi:type="dcterms:W3CDTF">2013-12-23T23:15:00Z</dcterms:modified>
  <cp:category/>
</cp:coreProperties>
</file>