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pPr>
      <w:r>
        <w:rPr>
          <w:rFonts w:ascii="Aptos" w:hAnsi="Aptos"/>
          <w:b/>
          <w:color w:val="2EA0D1"/>
          <w:sz w:val="20"/>
        </w:rPr>
        <w:t>BUSINESS REQUIREMENTS DOCUMENT</w:t>
      </w:r>
    </w:p>
    <w:p>
      <w:pPr>
        <w:pStyle w:val="Title"/>
        <w:spacing w:after="100"/>
      </w:pPr>
      <w:r>
        <w:t>Dynamics 365 Customer Service Case Routing and SLA Enhancement</w:t>
      </w:r>
    </w:p>
    <w:p>
      <w:pPr>
        <w:spacing w:after="360"/>
      </w:pPr>
      <w:r>
        <w:rPr>
          <w:rFonts w:ascii="Aptos" w:hAnsi="Aptos"/>
          <w:color w:val="596B78"/>
          <w:sz w:val="24"/>
        </w:rPr>
        <w:t>Existing CRM enhancement | Queue assignment, SLA timers, escalations, and service reporting</w:t>
      </w:r>
    </w:p>
    <w:tbl>
      <w:tblPr>
        <w:tblW w:type="auto" w:w="0"/>
        <w:jc w:val="left"/>
        <w:tblLayout w:type="fixed"/>
        <w:tblLook w:firstColumn="1" w:firstRow="1" w:lastColumn="0" w:lastRow="0" w:noHBand="0" w:noVBand="1" w:val="04A0"/>
      </w:tblPr>
      <w:tblGrid>
        <w:gridCol w:w="2376"/>
        <w:gridCol w:w="7992"/>
      </w:tblGrid>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Document ID</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CS-CRM-BRD-036</w:t>
            </w:r>
          </w:p>
        </w:tc>
      </w:tr>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Business owner</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Customer Support Operations</w:t>
            </w:r>
          </w:p>
        </w:tc>
      </w:tr>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Prepared for</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Support Leadership, CRM Product Owner, IT Applications</w:t>
            </w:r>
          </w:p>
        </w:tc>
      </w:tr>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Version</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1.0</w:t>
            </w:r>
          </w:p>
        </w:tc>
      </w:tr>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Status</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Draft for delivery estimation</w:t>
            </w:r>
          </w:p>
        </w:tc>
      </w:tr>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Date</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19 October 2026</w:t>
            </w:r>
          </w:p>
        </w:tc>
      </w:tr>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Target platform</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Dynamics 365 Customer Service, Dataverse, Power Automate; existing CRM tenant</w:t>
            </w:r>
          </w:p>
        </w:tc>
      </w:tr>
    </w:tbl>
    <w:p/>
    <w:p>
      <w:pPr>
        <w:spacing w:before="200"/>
      </w:pPr>
      <w:r>
        <w:rPr>
          <w:rFonts w:ascii="Aptos" w:hAnsi="Aptos"/>
          <w:b/>
          <w:color w:val="163B5C"/>
          <w:sz w:val="20"/>
        </w:rPr>
        <w:t>DECISION SUMMARY</w:t>
      </w:r>
    </w:p>
    <w:p>
      <w:pPr>
        <w:spacing w:after="200"/>
        <w:ind w:left="173" w:right="173"/>
        <w:pBdr>
          <w:left w:val="single" w:sz="20" w:space="7" w:color="2EA0D1"/>
        </w:pBdr>
      </w:pPr>
      <w:r>
        <w:t>Improve the existing Dynamics 365 Customer Service case workflow by applying a documented priority matrix, routing new cases to the correct queue, tracking first-response and resolution targets, and escalating approaching or breached SLAs. Standard case records and agent workspace remain in place; the solution must not silently change entitlement, email ingestion, or existing security behaviour.</w:t>
      </w:r>
    </w:p>
    <w:p>
      <w:r>
        <w:t>Document purpose: define the business outcomes, scope, delivery constraints, and acceptance conditions needed for solution design and delivery planning. This document does not prescribe a project estimate.</w:t>
      </w:r>
    </w:p>
    <w:p>
      <w:r>
        <w:br w:type="page"/>
      </w:r>
    </w:p>
    <w:p>
      <w:pPr>
        <w:pStyle w:val="Heading1"/>
      </w:pPr>
      <w:r>
        <w:t>1. Executive Summary</w:t>
      </w:r>
    </w:p>
    <w:p>
      <w:r>
        <w:t>Support teams receive cases through a shared support mailbox and manual CRM entry. Agents assign cases inconsistently, priority is often changed without a reason, and supervisors identify overdue work through ad hoc views. The business needs a transparent and repeatable routing and SLA process.</w:t>
      </w:r>
    </w:p>
    <w:p>
      <w:r>
        <w:t>The enhancement will configure case classification, queue routing, SLA KPI instances, supervisor alerts, and operational views using the existing Customer Service environment. Existing account/contact matching, email-to-case creation, and closure process must continue unless a specific change is listed here.</w:t>
      </w:r>
    </w:p>
    <w:p>
      <w:pPr>
        <w:pStyle w:val="Heading1"/>
      </w:pPr>
      <w:r>
        <w:t>2. Business Context and Objectives</w:t>
      </w:r>
    </w:p>
    <w:p>
      <w:pPr>
        <w:pStyle w:val="Heading2"/>
      </w:pPr>
      <w:r>
        <w:t>2.1 Current pain points</w:t>
      </w:r>
    </w:p>
    <w:p>
      <w:pPr>
        <w:pStyle w:val="ListBullet"/>
        <w:spacing w:after="40"/>
        <w:ind w:left="360" w:hanging="216"/>
      </w:pPr>
      <w:r>
        <w:t>Priority is influenced by individual agent judgement rather than a shared matrix.</w:t>
      </w:r>
    </w:p>
    <w:p>
      <w:pPr>
        <w:pStyle w:val="ListBullet"/>
        <w:spacing w:after="40"/>
        <w:ind w:left="360" w:hanging="216"/>
      </w:pPr>
      <w:r>
        <w:t>Cases can remain in an unowned queue or be assigned to teams without the required skills.</w:t>
      </w:r>
    </w:p>
    <w:p>
      <w:pPr>
        <w:pStyle w:val="ListBullet"/>
        <w:spacing w:after="40"/>
        <w:ind w:left="360" w:hanging="216"/>
      </w:pPr>
      <w:r>
        <w:t>Supervisors discover approaching SLA breaches too late to intervene.</w:t>
      </w:r>
    </w:p>
    <w:p>
      <w:pPr>
        <w:pStyle w:val="ListBullet"/>
        <w:spacing w:after="40"/>
        <w:ind w:left="360" w:hanging="216"/>
      </w:pPr>
      <w:r>
        <w:t>Reports do not reliably distinguish first response, resolution, paused time, and breach reason.</w:t>
      </w:r>
    </w:p>
    <w:p>
      <w:pPr>
        <w:pStyle w:val="Heading2"/>
      </w:pPr>
      <w:r>
        <w:t>2.2 Goals and success outcomes</w:t>
      </w:r>
    </w:p>
    <w:p>
      <w:pPr>
        <w:pStyle w:val="ListBullet"/>
        <w:spacing w:after="40"/>
        <w:ind w:left="360" w:hanging="216"/>
      </w:pPr>
      <w:r>
        <w:t>Assign eligible new cases based on product area, customer tier, and case type, with a documented fallback queue.</w:t>
      </w:r>
    </w:p>
    <w:p>
      <w:pPr>
        <w:pStyle w:val="ListBullet"/>
        <w:spacing w:after="40"/>
        <w:ind w:left="360" w:hanging="216"/>
      </w:pPr>
      <w:r>
        <w:t>Calculate priority from severity and customer impact, while permitting controlled manual override with a reason.</w:t>
      </w:r>
    </w:p>
    <w:p>
      <w:pPr>
        <w:pStyle w:val="ListBullet"/>
        <w:spacing w:after="40"/>
        <w:ind w:left="360" w:hanging="216"/>
      </w:pPr>
      <w:r>
        <w:t>Track first response and resolution SLA KPIs against customer tier and case priority.</w:t>
      </w:r>
    </w:p>
    <w:p>
      <w:pPr>
        <w:pStyle w:val="ListBullet"/>
        <w:spacing w:after="40"/>
        <w:ind w:left="360" w:hanging="216"/>
      </w:pPr>
      <w:r>
        <w:t>Notify agents and supervisors before a target is breached and escalate breached cases.</w:t>
      </w:r>
    </w:p>
    <w:p>
      <w:pPr>
        <w:pStyle w:val="ListBullet"/>
        <w:spacing w:after="40"/>
        <w:ind w:left="360" w:hanging="216"/>
      </w:pPr>
      <w:r>
        <w:t>Provide a supervisor workbench for unassigned, at-risk, breached, and aged cases.</w:t>
      </w:r>
    </w:p>
    <w:p>
      <w:pPr>
        <w:pStyle w:val="ListBullet"/>
        <w:spacing w:after="40"/>
        <w:ind w:left="360" w:hanging="216"/>
      </w:pPr>
      <w:r>
        <w:t>Preserve existing case creation, email association, customer entitlements, and closure behaviour.</w:t>
      </w:r>
    </w:p>
    <w:p>
      <w:pPr>
        <w:pStyle w:val="Heading2"/>
      </w:pPr>
      <w:r>
        <w:t>2.3 Success measures</w:t>
      </w:r>
    </w:p>
    <w:tbl>
      <w:tblPr>
        <w:tblStyle w:val="TableGrid"/>
        <w:tblW w:type="auto" w:w="0"/>
        <w:jc w:val="center"/>
        <w:tblLayout w:type="fixed"/>
        <w:tblLook w:firstColumn="1" w:firstRow="1" w:lastColumn="0" w:lastRow="0" w:noHBand="0" w:noVBand="1" w:val="04A0"/>
      </w:tblPr>
      <w:tblGrid>
        <w:gridCol w:w="2088"/>
        <w:gridCol w:w="5472"/>
        <w:gridCol w:w="2664"/>
      </w:tblGrid>
      <w:tr>
        <w:trPr>
          <w:tblHeader w:val="true"/>
        </w:trPr>
        <w:tc>
          <w:tcPr>
            <w:tcW w:type="dxa" w:w="2088"/>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Measure</w:t>
            </w:r>
          </w:p>
        </w:tc>
        <w:tc>
          <w:tcPr>
            <w:tcW w:type="dxa" w:w="5472"/>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Expected outcome</w:t>
            </w:r>
          </w:p>
        </w:tc>
        <w:tc>
          <w:tcPr>
            <w:tcW w:type="dxa" w:w="2664"/>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Target status</w:t>
            </w:r>
          </w:p>
        </w:tc>
      </w:tr>
      <w:tr>
        <w:tc>
          <w:tcPr>
            <w:tcW w:type="dxa" w:w="2088"/>
            <w:vAlign w:val="center"/>
            <w:tcMar>
              <w:top w:w="80" w:type="dxa"/>
              <w:start w:w="100" w:type="dxa"/>
              <w:bottom w:w="80" w:type="dxa"/>
              <w:end w:w="100" w:type="dxa"/>
            </w:tcMar>
          </w:tcPr>
          <w:p>
            <w:pPr>
              <w:spacing w:after="0" w:before="0" w:line="240" w:lineRule="auto"/>
            </w:pPr>
            <w:r/>
            <w:r>
              <w:rPr>
                <w:rFonts w:ascii="Aptos" w:hAnsi="Aptos"/>
                <w:b w:val="0"/>
                <w:color w:val="243746"/>
                <w:sz w:val="16"/>
              </w:rPr>
              <w:t>Routing completeness</w:t>
            </w:r>
          </w:p>
        </w:tc>
        <w:tc>
          <w:tcPr>
            <w:tcW w:type="dxa" w:w="5472"/>
            <w:vAlign w:val="center"/>
            <w:tcMar>
              <w:top w:w="80" w:type="dxa"/>
              <w:start w:w="100" w:type="dxa"/>
              <w:bottom w:w="80" w:type="dxa"/>
              <w:end w:w="100" w:type="dxa"/>
            </w:tcMar>
          </w:tcPr>
          <w:p>
            <w:pPr>
              <w:spacing w:after="0" w:before="0" w:line="240" w:lineRule="auto"/>
            </w:pPr>
            <w:r/>
            <w:r>
              <w:rPr>
                <w:rFonts w:ascii="Aptos" w:hAnsi="Aptos"/>
                <w:b w:val="0"/>
                <w:color w:val="243746"/>
                <w:sz w:val="16"/>
              </w:rPr>
              <w:t>Every eligible new case lands in an approved queue or documented fallback.</w:t>
            </w:r>
          </w:p>
        </w:tc>
        <w:tc>
          <w:tcPr>
            <w:tcW w:type="dxa" w:w="2664"/>
            <w:vAlign w:val="center"/>
            <w:tcMar>
              <w:top w:w="80" w:type="dxa"/>
              <w:start w:w="100" w:type="dxa"/>
              <w:bottom w:w="80" w:type="dxa"/>
              <w:end w:w="100" w:type="dxa"/>
            </w:tcMar>
          </w:tcPr>
          <w:p>
            <w:pPr>
              <w:spacing w:after="0" w:before="0" w:line="240" w:lineRule="auto"/>
            </w:pPr>
            <w:r/>
            <w:r>
              <w:rPr>
                <w:rFonts w:ascii="Aptos" w:hAnsi="Aptos"/>
                <w:b w:val="0"/>
                <w:color w:val="243746"/>
                <w:sz w:val="16"/>
              </w:rPr>
              <w:t>Required for UAT</w:t>
            </w:r>
          </w:p>
        </w:tc>
      </w:tr>
      <w:tr>
        <w:tc>
          <w:tcPr>
            <w:tcW w:type="dxa" w:w="208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SLA calculation</w:t>
            </w:r>
          </w:p>
        </w:tc>
        <w:tc>
          <w:tcPr>
            <w:tcW w:type="dxa" w:w="54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Timers respect business hours, holidays, and configured pause conditions.</w:t>
            </w:r>
          </w:p>
        </w:tc>
        <w:tc>
          <w:tcPr>
            <w:tcW w:type="dxa" w:w="26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Required for UAT</w:t>
            </w:r>
          </w:p>
        </w:tc>
      </w:tr>
      <w:tr>
        <w:tc>
          <w:tcPr>
            <w:tcW w:type="dxa" w:w="2088"/>
            <w:vAlign w:val="center"/>
            <w:tcMar>
              <w:top w:w="80" w:type="dxa"/>
              <w:start w:w="100" w:type="dxa"/>
              <w:bottom w:w="80" w:type="dxa"/>
              <w:end w:w="100" w:type="dxa"/>
            </w:tcMar>
          </w:tcPr>
          <w:p>
            <w:pPr>
              <w:spacing w:after="0" w:before="0" w:line="240" w:lineRule="auto"/>
            </w:pPr>
            <w:r/>
            <w:r>
              <w:rPr>
                <w:rFonts w:ascii="Aptos" w:hAnsi="Aptos"/>
                <w:b w:val="0"/>
                <w:color w:val="243746"/>
                <w:sz w:val="16"/>
              </w:rPr>
              <w:t>Escalation timeliness</w:t>
            </w:r>
          </w:p>
        </w:tc>
        <w:tc>
          <w:tcPr>
            <w:tcW w:type="dxa" w:w="5472"/>
            <w:vAlign w:val="center"/>
            <w:tcMar>
              <w:top w:w="80" w:type="dxa"/>
              <w:start w:w="100" w:type="dxa"/>
              <w:bottom w:w="80" w:type="dxa"/>
              <w:end w:w="100" w:type="dxa"/>
            </w:tcMar>
          </w:tcPr>
          <w:p>
            <w:pPr>
              <w:spacing w:after="0" w:before="0" w:line="240" w:lineRule="auto"/>
            </w:pPr>
            <w:r/>
            <w:r>
              <w:rPr>
                <w:rFonts w:ascii="Aptos" w:hAnsi="Aptos"/>
                <w:b w:val="0"/>
                <w:color w:val="243746"/>
                <w:sz w:val="16"/>
              </w:rPr>
              <w:t>At-risk and breached notifications are generated once per defined state transition.</w:t>
            </w:r>
          </w:p>
        </w:tc>
        <w:tc>
          <w:tcPr>
            <w:tcW w:type="dxa" w:w="2664"/>
            <w:vAlign w:val="center"/>
            <w:tcMar>
              <w:top w:w="80" w:type="dxa"/>
              <w:start w:w="100" w:type="dxa"/>
              <w:bottom w:w="80" w:type="dxa"/>
              <w:end w:w="100" w:type="dxa"/>
            </w:tcMar>
          </w:tcPr>
          <w:p>
            <w:pPr>
              <w:spacing w:after="0" w:before="0" w:line="240" w:lineRule="auto"/>
            </w:pPr>
            <w:r/>
            <w:r>
              <w:rPr>
                <w:rFonts w:ascii="Aptos" w:hAnsi="Aptos"/>
                <w:b w:val="0"/>
                <w:color w:val="243746"/>
                <w:sz w:val="16"/>
              </w:rPr>
              <w:t>Target to be confirmed</w:t>
            </w:r>
          </w:p>
        </w:tc>
      </w:tr>
      <w:tr>
        <w:tc>
          <w:tcPr>
            <w:tcW w:type="dxa" w:w="208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Agent continuity</w:t>
            </w:r>
          </w:p>
        </w:tc>
        <w:tc>
          <w:tcPr>
            <w:tcW w:type="dxa" w:w="54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Existing case workflows and email timelines continue working.</w:t>
            </w:r>
          </w:p>
        </w:tc>
        <w:tc>
          <w:tcPr>
            <w:tcW w:type="dxa" w:w="26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Required for regression</w:t>
            </w:r>
          </w:p>
        </w:tc>
      </w:tr>
    </w:tbl>
    <w:p>
      <w:pPr>
        <w:spacing w:after="0"/>
      </w:pPr>
    </w:p>
    <w:p>
      <w:pPr>
        <w:pStyle w:val="Heading1"/>
      </w:pPr>
      <w:r>
        <w:t>3. Scope</w:t>
      </w:r>
    </w:p>
    <w:p>
      <w:pPr>
        <w:pStyle w:val="Heading2"/>
      </w:pPr>
      <w:r>
        <w:t>3.1 In scope</w:t>
      </w:r>
    </w:p>
    <w:p>
      <w:pPr>
        <w:pStyle w:val="ListBullet"/>
        <w:spacing w:after="40"/>
        <w:ind w:left="360" w:hanging="216"/>
      </w:pPr>
      <w:r>
        <w:t>Configuration of case fields, controlled option sets, priority determination, routing matrix, queues, and fallback logic.</w:t>
      </w:r>
    </w:p>
    <w:p>
      <w:pPr>
        <w:pStyle w:val="ListBullet"/>
        <w:spacing w:after="40"/>
        <w:ind w:left="360" w:hanging="216"/>
      </w:pPr>
      <w:r>
        <w:t>Use of existing case owner/team concepts and current agent security roles, subject to access review.</w:t>
      </w:r>
    </w:p>
    <w:p>
      <w:pPr>
        <w:pStyle w:val="ListBullet"/>
        <w:spacing w:after="40"/>
        <w:ind w:left="360" w:hanging="216"/>
      </w:pPr>
      <w:r>
        <w:t>First Response and Resolution SLA KPI definitions, business-hour calendars, holiday schedule, pause/resume rules, and escalation notifications.</w:t>
      </w:r>
    </w:p>
    <w:p>
      <w:pPr>
        <w:pStyle w:val="ListBullet"/>
        <w:spacing w:after="40"/>
        <w:ind w:left="360" w:hanging="216"/>
      </w:pPr>
      <w:r>
        <w:t>Supervisor views/charts for unassigned, near-breach, breached, and reopened cases.</w:t>
      </w:r>
    </w:p>
    <w:p>
      <w:pPr>
        <w:pStyle w:val="ListBullet"/>
        <w:spacing w:after="40"/>
        <w:ind w:left="360" w:hanging="216"/>
      </w:pPr>
      <w:r>
        <w:t>Automation monitoring, solution packaging, configuration documentation, and deployment through Dev, Test, and Production.</w:t>
      </w:r>
    </w:p>
    <w:p>
      <w:pPr>
        <w:pStyle w:val="ListBullet"/>
        <w:spacing w:after="40"/>
        <w:ind w:left="360" w:hanging="216"/>
      </w:pPr>
      <w:r>
        <w:t>Regression testing for case creation from supported email-to-case and manual entry flows.</w:t>
      </w:r>
    </w:p>
    <w:p>
      <w:pPr>
        <w:pStyle w:val="Heading2"/>
      </w:pPr>
      <w:r>
        <w:t>3.2 Out of scope</w:t>
      </w:r>
    </w:p>
    <w:p>
      <w:pPr>
        <w:pStyle w:val="ListBullet"/>
        <w:spacing w:after="40"/>
        <w:ind w:left="360" w:hanging="216"/>
      </w:pPr>
      <w:r>
        <w:t>Replacing Dynamics 365 Customer Service or the existing agent workspace.</w:t>
      </w:r>
    </w:p>
    <w:p>
      <w:pPr>
        <w:pStyle w:val="ListBullet"/>
        <w:spacing w:after="40"/>
        <w:ind w:left="360" w:hanging="216"/>
      </w:pPr>
      <w:r>
        <w:t>New omnichannel voice, web chat, social messaging, telephony CTI, or workforce-management integration.</w:t>
      </w:r>
    </w:p>
    <w:p>
      <w:pPr>
        <w:pStyle w:val="ListBullet"/>
        <w:spacing w:after="40"/>
        <w:ind w:left="360" w:hanging="216"/>
      </w:pPr>
      <w:r>
        <w:t>External customer portal or customer-visible SLA status page.</w:t>
      </w:r>
    </w:p>
    <w:p>
      <w:pPr>
        <w:pStyle w:val="ListBullet"/>
        <w:spacing w:after="40"/>
        <w:ind w:left="360" w:hanging="216"/>
      </w:pPr>
      <w:r>
        <w:t>Historical SLA recalculation for all closed cases; migration/reprocessing only if separately approved.</w:t>
      </w:r>
    </w:p>
    <w:p>
      <w:pPr>
        <w:pStyle w:val="ListBullet"/>
        <w:spacing w:after="40"/>
        <w:ind w:left="360" w:hanging="216"/>
      </w:pPr>
      <w:r>
        <w:t>Changes to entitlement contracts, billing, or legal SLA commitments unless explicitly represented in the approved target matrix.</w:t>
      </w:r>
    </w:p>
    <w:p>
      <w:pPr>
        <w:pStyle w:val="ListBullet"/>
        <w:spacing w:after="40"/>
        <w:ind w:left="360" w:hanging="216"/>
      </w:pPr>
      <w:r>
        <w:t>AI-based case classification or generative response drafting.</w:t>
      </w:r>
    </w:p>
    <w:p>
      <w:pPr>
        <w:pStyle w:val="Heading1"/>
      </w:pPr>
      <w:r>
        <w:t>4. Stakeholders and User Roles</w:t>
      </w:r>
    </w:p>
    <w:tbl>
      <w:tblPr>
        <w:tblStyle w:val="TableGrid"/>
        <w:tblW w:type="auto" w:w="0"/>
        <w:jc w:val="center"/>
        <w:tblLayout w:type="fixed"/>
        <w:tblLook w:firstColumn="1" w:firstRow="1" w:lastColumn="0" w:lastRow="0" w:noHBand="0" w:noVBand="1" w:val="04A0"/>
      </w:tblPr>
      <w:tblGrid>
        <w:gridCol w:w="1872"/>
        <w:gridCol w:w="4968"/>
        <w:gridCol w:w="3528"/>
      </w:tblGrid>
      <w:tr>
        <w:trPr>
          <w:tblHeader w:val="true"/>
        </w:trPr>
        <w:tc>
          <w:tcPr>
            <w:tcW w:type="dxa" w:w="1872"/>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Role</w:t>
            </w:r>
          </w:p>
        </w:tc>
        <w:tc>
          <w:tcPr>
            <w:tcW w:type="dxa" w:w="4968"/>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Responsibilities</w:t>
            </w:r>
          </w:p>
        </w:tc>
        <w:tc>
          <w:tcPr>
            <w:tcW w:type="dxa" w:w="3528"/>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Access / decisions</w:t>
            </w:r>
          </w:p>
        </w:tc>
      </w:tr>
      <w:tr>
        <w:tc>
          <w:tcPr>
            <w:tcW w:type="dxa" w:w="1872"/>
            <w:vAlign w:val="center"/>
            <w:tcMar>
              <w:top w:w="80" w:type="dxa"/>
              <w:start w:w="100" w:type="dxa"/>
              <w:bottom w:w="80" w:type="dxa"/>
              <w:end w:w="100" w:type="dxa"/>
            </w:tcMar>
          </w:tcPr>
          <w:p>
            <w:pPr>
              <w:spacing w:after="0" w:before="0" w:line="240" w:lineRule="auto"/>
            </w:pPr>
            <w:r/>
            <w:r>
              <w:rPr>
                <w:rFonts w:ascii="Aptos" w:hAnsi="Aptos"/>
                <w:b w:val="0"/>
                <w:color w:val="243746"/>
                <w:sz w:val="16"/>
              </w:rPr>
              <w:t>Support agent</w:t>
            </w:r>
          </w:p>
        </w:tc>
        <w:tc>
          <w:tcPr>
            <w:tcW w:type="dxa" w:w="4968"/>
            <w:vAlign w:val="center"/>
            <w:tcMar>
              <w:top w:w="80" w:type="dxa"/>
              <w:start w:w="100" w:type="dxa"/>
              <w:bottom w:w="80" w:type="dxa"/>
              <w:end w:w="100" w:type="dxa"/>
            </w:tcMar>
          </w:tcPr>
          <w:p>
            <w:pPr>
              <w:spacing w:after="0" w:before="0" w:line="240" w:lineRule="auto"/>
            </w:pPr>
            <w:r/>
            <w:r>
              <w:rPr>
                <w:rFonts w:ascii="Aptos" w:hAnsi="Aptos"/>
                <w:b w:val="0"/>
                <w:color w:val="243746"/>
                <w:sz w:val="16"/>
              </w:rPr>
              <w:t>Work owned cases, respond to customers, record first response, update case classification.</w:t>
            </w:r>
          </w:p>
        </w:tc>
        <w:tc>
          <w:tcPr>
            <w:tcW w:type="dxa" w:w="3528"/>
            <w:vAlign w:val="center"/>
            <w:tcMar>
              <w:top w:w="80" w:type="dxa"/>
              <w:start w:w="100" w:type="dxa"/>
              <w:bottom w:w="80" w:type="dxa"/>
              <w:end w:w="100" w:type="dxa"/>
            </w:tcMar>
          </w:tcPr>
          <w:p>
            <w:pPr>
              <w:spacing w:after="0" w:before="0" w:line="240" w:lineRule="auto"/>
            </w:pPr>
            <w:r/>
            <w:r>
              <w:rPr>
                <w:rFonts w:ascii="Aptos" w:hAnsi="Aptos"/>
                <w:b w:val="0"/>
                <w:color w:val="243746"/>
                <w:sz w:val="16"/>
              </w:rPr>
              <w:t>Assigned/team cases per current security</w:t>
            </w:r>
          </w:p>
        </w:tc>
      </w:tr>
      <w:tr>
        <w:tc>
          <w:tcPr>
            <w:tcW w:type="dxa" w:w="18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Queue lead</w:t>
            </w:r>
          </w:p>
        </w:tc>
        <w:tc>
          <w:tcPr>
            <w:tcW w:type="dxa" w:w="496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Monitor queue workload and reassign eligible cases within team.</w:t>
            </w:r>
          </w:p>
        </w:tc>
        <w:tc>
          <w:tcPr>
            <w:tcW w:type="dxa" w:w="352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Queue-level assignment</w:t>
            </w:r>
          </w:p>
        </w:tc>
      </w:tr>
      <w:tr>
        <w:tc>
          <w:tcPr>
            <w:tcW w:type="dxa" w:w="1872"/>
            <w:vAlign w:val="center"/>
            <w:tcMar>
              <w:top w:w="80" w:type="dxa"/>
              <w:start w:w="100" w:type="dxa"/>
              <w:bottom w:w="80" w:type="dxa"/>
              <w:end w:w="100" w:type="dxa"/>
            </w:tcMar>
          </w:tcPr>
          <w:p>
            <w:pPr>
              <w:spacing w:after="0" w:before="0" w:line="240" w:lineRule="auto"/>
            </w:pPr>
            <w:r/>
            <w:r>
              <w:rPr>
                <w:rFonts w:ascii="Aptos" w:hAnsi="Aptos"/>
                <w:b w:val="0"/>
                <w:color w:val="243746"/>
                <w:sz w:val="16"/>
              </w:rPr>
              <w:t>Support supervisor</w:t>
            </w:r>
          </w:p>
        </w:tc>
        <w:tc>
          <w:tcPr>
            <w:tcW w:type="dxa" w:w="4968"/>
            <w:vAlign w:val="center"/>
            <w:tcMar>
              <w:top w:w="80" w:type="dxa"/>
              <w:start w:w="100" w:type="dxa"/>
              <w:bottom w:w="80" w:type="dxa"/>
              <w:end w:w="100" w:type="dxa"/>
            </w:tcMar>
          </w:tcPr>
          <w:p>
            <w:pPr>
              <w:spacing w:after="0" w:before="0" w:line="240" w:lineRule="auto"/>
            </w:pPr>
            <w:r/>
            <w:r>
              <w:rPr>
                <w:rFonts w:ascii="Aptos" w:hAnsi="Aptos"/>
                <w:b w:val="0"/>
                <w:color w:val="243746"/>
                <w:sz w:val="16"/>
              </w:rPr>
              <w:t>Review breach risk, approve priority overrides, review SLA exceptions.</w:t>
            </w:r>
          </w:p>
        </w:tc>
        <w:tc>
          <w:tcPr>
            <w:tcW w:type="dxa" w:w="3528"/>
            <w:vAlign w:val="center"/>
            <w:tcMar>
              <w:top w:w="80" w:type="dxa"/>
              <w:start w:w="100" w:type="dxa"/>
              <w:bottom w:w="80" w:type="dxa"/>
              <w:end w:w="100" w:type="dxa"/>
            </w:tcMar>
          </w:tcPr>
          <w:p>
            <w:pPr>
              <w:spacing w:after="0" w:before="0" w:line="240" w:lineRule="auto"/>
            </w:pPr>
            <w:r/>
            <w:r>
              <w:rPr>
                <w:rFonts w:ascii="Aptos" w:hAnsi="Aptos"/>
                <w:b w:val="0"/>
                <w:color w:val="243746"/>
                <w:sz w:val="16"/>
              </w:rPr>
              <w:t>Cross-team service views</w:t>
            </w:r>
          </w:p>
        </w:tc>
      </w:tr>
      <w:tr>
        <w:tc>
          <w:tcPr>
            <w:tcW w:type="dxa" w:w="18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CRM administrator</w:t>
            </w:r>
          </w:p>
        </w:tc>
        <w:tc>
          <w:tcPr>
            <w:tcW w:type="dxa" w:w="496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Maintain queues, routing mappings, calendars, and SLA configuration.</w:t>
            </w:r>
          </w:p>
        </w:tc>
        <w:tc>
          <w:tcPr>
            <w:tcW w:type="dxa" w:w="352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Configuration privilege</w:t>
            </w:r>
          </w:p>
        </w:tc>
      </w:tr>
      <w:tr>
        <w:tc>
          <w:tcPr>
            <w:tcW w:type="dxa" w:w="1872"/>
            <w:vAlign w:val="center"/>
            <w:tcMar>
              <w:top w:w="80" w:type="dxa"/>
              <w:start w:w="100" w:type="dxa"/>
              <w:bottom w:w="80" w:type="dxa"/>
              <w:end w:w="100" w:type="dxa"/>
            </w:tcMar>
          </w:tcPr>
          <w:p>
            <w:pPr>
              <w:spacing w:after="0" w:before="0" w:line="240" w:lineRule="auto"/>
            </w:pPr>
            <w:r/>
            <w:r>
              <w:rPr>
                <w:rFonts w:ascii="Aptos" w:hAnsi="Aptos"/>
                <w:b w:val="0"/>
                <w:color w:val="243746"/>
                <w:sz w:val="16"/>
              </w:rPr>
              <w:t>Service operations owner</w:t>
            </w:r>
          </w:p>
        </w:tc>
        <w:tc>
          <w:tcPr>
            <w:tcW w:type="dxa" w:w="4968"/>
            <w:vAlign w:val="center"/>
            <w:tcMar>
              <w:top w:w="80" w:type="dxa"/>
              <w:start w:w="100" w:type="dxa"/>
              <w:bottom w:w="80" w:type="dxa"/>
              <w:end w:w="100" w:type="dxa"/>
            </w:tcMar>
          </w:tcPr>
          <w:p>
            <w:pPr>
              <w:spacing w:after="0" w:before="0" w:line="240" w:lineRule="auto"/>
            </w:pPr>
            <w:r/>
            <w:r>
              <w:rPr>
                <w:rFonts w:ascii="Aptos" w:hAnsi="Aptos"/>
                <w:b w:val="0"/>
                <w:color w:val="243746"/>
                <w:sz w:val="16"/>
              </w:rPr>
              <w:t>Own priority matrix, service targets, escalation policy, and acceptance.</w:t>
            </w:r>
          </w:p>
        </w:tc>
        <w:tc>
          <w:tcPr>
            <w:tcW w:type="dxa" w:w="3528"/>
            <w:vAlign w:val="center"/>
            <w:tcMar>
              <w:top w:w="80" w:type="dxa"/>
              <w:start w:w="100" w:type="dxa"/>
              <w:bottom w:w="80" w:type="dxa"/>
              <w:end w:w="100" w:type="dxa"/>
            </w:tcMar>
          </w:tcPr>
          <w:p>
            <w:pPr>
              <w:spacing w:after="0" w:before="0" w:line="240" w:lineRule="auto"/>
            </w:pPr>
            <w:r/>
            <w:r>
              <w:rPr>
                <w:rFonts w:ascii="Aptos" w:hAnsi="Aptos"/>
                <w:b w:val="0"/>
                <w:color w:val="243746"/>
                <w:sz w:val="16"/>
              </w:rPr>
              <w:t>Business-policy approval</w:t>
            </w:r>
          </w:p>
        </w:tc>
      </w:tr>
      <w:tr>
        <w:tc>
          <w:tcPr>
            <w:tcW w:type="dxa" w:w="18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QA/UAT participant</w:t>
            </w:r>
          </w:p>
        </w:tc>
        <w:tc>
          <w:tcPr>
            <w:tcW w:type="dxa" w:w="496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Validate workflows, timer scenarios, notifications, access, and regression.</w:t>
            </w:r>
          </w:p>
        </w:tc>
        <w:tc>
          <w:tcPr>
            <w:tcW w:type="dxa" w:w="352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Test environment access</w:t>
            </w:r>
          </w:p>
        </w:tc>
      </w:tr>
    </w:tbl>
    <w:p>
      <w:pPr>
        <w:spacing w:after="0"/>
      </w:pPr>
    </w:p>
    <w:p>
      <w:pPr>
        <w:pStyle w:val="Heading1"/>
      </w:pPr>
      <w:r>
        <w:t>5. Current and Future State</w:t>
      </w:r>
    </w:p>
    <w:p>
      <w:pPr>
        <w:pStyle w:val="Heading2"/>
      </w:pPr>
      <w:r>
        <w:t>5.1 Current state</w:t>
      </w:r>
    </w:p>
    <w:p>
      <w:r>
        <w:t>Cases are created in Dynamics 365, but queue selection and priority changes are inconsistent. Supervisors rely on saved views and manual review rather than approaching-breach automation.</w:t>
      </w:r>
    </w:p>
    <w:p>
      <w:pPr>
        <w:pStyle w:val="Heading2"/>
      </w:pPr>
      <w:r>
        <w:t>5.2 Future-state journey</w:t>
      </w:r>
    </w:p>
    <w:p>
      <w:pPr>
        <w:pStyle w:val="ListBullet"/>
        <w:spacing w:after="40"/>
        <w:ind w:left="360" w:hanging="216"/>
      </w:pPr>
      <w:r>
        <w:t>A case is created manually or through the existing supported email-to-case process.</w:t>
      </w:r>
    </w:p>
    <w:p>
      <w:pPr>
        <w:pStyle w:val="ListBullet"/>
        <w:spacing w:after="40"/>
        <w:ind w:left="360" w:hanging="216"/>
      </w:pPr>
      <w:r>
        <w:t>Routing rules read the supported case attributes and assign a queue using the approved matrix; missing or unmatched values go to the fallback queue.</w:t>
      </w:r>
    </w:p>
    <w:p>
      <w:pPr>
        <w:pStyle w:val="ListBullet"/>
        <w:spacing w:after="40"/>
        <w:ind w:left="360" w:hanging="216"/>
      </w:pPr>
      <w:r>
        <w:t>Priority is set from severity and customer impact. Authorized users can override it with a mandatory reason.</w:t>
      </w:r>
    </w:p>
    <w:p>
      <w:pPr>
        <w:pStyle w:val="ListBullet"/>
        <w:spacing w:after="40"/>
        <w:ind w:left="360" w:hanging="216"/>
      </w:pPr>
      <w:r>
        <w:t>SLA KPI timers begin at the agreed status and use the applicable business calendar.</w:t>
      </w:r>
    </w:p>
    <w:p>
      <w:pPr>
        <w:pStyle w:val="ListBullet"/>
        <w:spacing w:after="40"/>
        <w:ind w:left="360" w:hanging="216"/>
      </w:pPr>
      <w:r>
        <w:t>At-risk notification is generated once per threshold crossing; breach notification escalates to the supervisor queue.</w:t>
      </w:r>
    </w:p>
    <w:p>
      <w:pPr>
        <w:pStyle w:val="ListBullet"/>
        <w:spacing w:after="40"/>
        <w:ind w:left="360" w:hanging="216"/>
      </w:pPr>
      <w:r>
        <w:t>When a case is paused or reopened, SLA calculation follows the documented pause/resume and restart matrix.</w:t>
      </w:r>
    </w:p>
    <w:p>
      <w:pPr>
        <w:pStyle w:val="ListBullet"/>
        <w:spacing w:after="40"/>
        <w:ind w:left="360" w:hanging="216"/>
      </w:pPr>
      <w:r>
        <w:t>Supervisor views show current case owner, queue, priority, first-response due time, resolution due time, and SLA state.</w:t>
      </w:r>
    </w:p>
    <w:p>
      <w:pPr>
        <w:pStyle w:val="Heading1"/>
      </w:pPr>
      <w:r>
        <w:t>6. Functional Requirements</w:t>
      </w:r>
    </w:p>
    <w:tbl>
      <w:tblPr>
        <w:tblStyle w:val="TableGrid"/>
        <w:tblW w:type="auto" w:w="0"/>
        <w:jc w:val="center"/>
        <w:tblLayout w:type="fixed"/>
        <w:tblLook w:firstColumn="1" w:firstRow="1" w:lastColumn="0" w:lastRow="0" w:noHBand="0" w:noVBand="1" w:val="04A0"/>
      </w:tblPr>
      <w:tblGrid>
        <w:gridCol w:w="792"/>
        <w:gridCol w:w="1656"/>
        <w:gridCol w:w="6552"/>
        <w:gridCol w:w="1080"/>
      </w:tblGrid>
      <w:tr>
        <w:trPr>
          <w:tblHeader w:val="true"/>
        </w:trPr>
        <w:tc>
          <w:tcPr>
            <w:tcW w:type="dxa" w:w="792"/>
            <w:vAlign w:val="center"/>
            <w:tcMar>
              <w:top w:w="80" w:type="dxa"/>
              <w:start w:w="100" w:type="dxa"/>
              <w:bottom w:w="80" w:type="dxa"/>
              <w:end w:w="100" w:type="dxa"/>
            </w:tcMar>
            <w:shd w:fill="163B5C"/>
          </w:tcPr>
          <w:p>
            <w:pPr>
              <w:spacing w:after="0" w:before="0" w:line="240" w:lineRule="auto"/>
            </w:pPr>
            <w:r/>
            <w:r>
              <w:rPr>
                <w:rFonts w:ascii="Aptos" w:hAnsi="Aptos"/>
                <w:b/>
                <w:color w:val="FFFFFF"/>
                <w:sz w:val="14"/>
              </w:rPr>
              <w:t>ID</w:t>
            </w:r>
          </w:p>
        </w:tc>
        <w:tc>
          <w:tcPr>
            <w:tcW w:type="dxa" w:w="1656"/>
            <w:vAlign w:val="center"/>
            <w:tcMar>
              <w:top w:w="80" w:type="dxa"/>
              <w:start w:w="100" w:type="dxa"/>
              <w:bottom w:w="80" w:type="dxa"/>
              <w:end w:w="100" w:type="dxa"/>
            </w:tcMar>
            <w:shd w:fill="163B5C"/>
          </w:tcPr>
          <w:p>
            <w:pPr>
              <w:spacing w:after="0" w:before="0" w:line="240" w:lineRule="auto"/>
            </w:pPr>
            <w:r/>
            <w:r>
              <w:rPr>
                <w:rFonts w:ascii="Aptos" w:hAnsi="Aptos"/>
                <w:b/>
                <w:color w:val="FFFFFF"/>
                <w:sz w:val="14"/>
              </w:rPr>
              <w:t>Capability</w:t>
            </w:r>
          </w:p>
        </w:tc>
        <w:tc>
          <w:tcPr>
            <w:tcW w:type="dxa" w:w="6552"/>
            <w:vAlign w:val="center"/>
            <w:tcMar>
              <w:top w:w="80" w:type="dxa"/>
              <w:start w:w="100" w:type="dxa"/>
              <w:bottom w:w="80" w:type="dxa"/>
              <w:end w:w="100" w:type="dxa"/>
            </w:tcMar>
            <w:shd w:fill="163B5C"/>
          </w:tcPr>
          <w:p>
            <w:pPr>
              <w:spacing w:after="0" w:before="0" w:line="240" w:lineRule="auto"/>
            </w:pPr>
            <w:r/>
            <w:r>
              <w:rPr>
                <w:rFonts w:ascii="Aptos" w:hAnsi="Aptos"/>
                <w:b/>
                <w:color w:val="FFFFFF"/>
                <w:sz w:val="14"/>
              </w:rPr>
              <w:t>Requirement</w:t>
            </w:r>
          </w:p>
        </w:tc>
        <w:tc>
          <w:tcPr>
            <w:tcW w:type="dxa" w:w="1080"/>
            <w:vAlign w:val="center"/>
            <w:tcMar>
              <w:top w:w="80" w:type="dxa"/>
              <w:start w:w="100" w:type="dxa"/>
              <w:bottom w:w="80" w:type="dxa"/>
              <w:end w:w="100" w:type="dxa"/>
            </w:tcMar>
            <w:shd w:fill="163B5C"/>
          </w:tcPr>
          <w:p>
            <w:pPr>
              <w:spacing w:after="0" w:before="0" w:line="240" w:lineRule="auto"/>
            </w:pPr>
            <w:r/>
            <w:r>
              <w:rPr>
                <w:rFonts w:ascii="Aptos" w:hAnsi="Aptos"/>
                <w:b/>
                <w:color w:val="FFFFFF"/>
                <w:sz w:val="14"/>
              </w:rPr>
              <w:t>Priority</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4"/>
              </w:rPr>
              <w:t>FR-01</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4"/>
              </w:rPr>
              <w:t>Existing case reuse</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4"/>
              </w:rPr>
              <w:t>Extend the existing Case table and forms. Do not create a parallel custom case entity or replace the agent workspace.</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FR-02</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Routing attributes</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Use Product Area, Case Type, Customer Tier, Severity, Impact, and Origin where populated. Reuse existing fields where semantically equivalent; identify any fields requiring configuration.</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4"/>
              </w:rPr>
              <w:t>FR-03</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4"/>
              </w:rPr>
              <w:t>Routing matrix</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4"/>
              </w:rPr>
              <w:t>Route by approved combinations of Product Area and Case Type, with Customer Tier used for designated priority queues. Store routing mappings as maintainable configuration rather than nested hard-coded conditions.</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FR-04</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Fallback queue</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If an attribute is missing or no matrix entry matches, assign to the General Triage queue and mark routing exception reason.</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4"/>
              </w:rPr>
              <w:t>FR-05</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4"/>
              </w:rPr>
              <w:t>Priority calculation</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4"/>
              </w:rPr>
              <w:t>Calculate initial priority using the approved Severity x Impact matrix. Existing manually set priority may be retained only where policy identifies the case as exempt.</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FR-06</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Priority override</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Allow authorized supervisor to override calculated priority with reason and timestamp. Re-evaluate on relevant classification changes; do not overwrite a later explicit override without a defined policy.</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4"/>
              </w:rPr>
              <w:t>FR-07</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4"/>
              </w:rPr>
              <w:t>First response SLA</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4"/>
              </w:rPr>
              <w:t>Start first-response KPI when case becomes Active; satisfy it when a qualifying public customer response is recorded. Internal notes do not count as first response.</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FR-08</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Resolution SLA</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Start resolution KPI on activation; pause only for approved Waiting on Customer or Waiting on Third Party statuses. Resume when case leaves a pause status.</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4"/>
              </w:rPr>
              <w:t>FR-09</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4"/>
              </w:rPr>
              <w:t>Business calendar</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4"/>
              </w:rPr>
              <w:t>Calculate timers using support business hours, approved holidays, and the relevant service calendar. Calendar assignment by customer tier must be configurable.</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FR-10</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At-risk alerts</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Notify case owner and queue lead when remaining SLA time reaches 20% of the target or 60 minutes, whichever threshold is reached first. Do not send repeated alerts for the same threshold crossing.</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4"/>
              </w:rPr>
              <w:t>FR-11</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4"/>
              </w:rPr>
              <w:t>Breach escalation</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4"/>
              </w:rPr>
              <w:t>On breach, notify supervisor and mark the SLA KPI as breached. If the case remains breached for four business hours, create one supervisor follow-up task.</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FR-12</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Reopened cases</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Apply an approved rule for restarting or resuming resolution KPI on reopened cases; first-response KPI remains satisfied if a qualifying response was already sent.</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4"/>
              </w:rPr>
              <w:t>FR-13</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4"/>
              </w:rPr>
              <w:t>Exception handling</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4"/>
              </w:rPr>
              <w:t>Capture a breach-exception reason for approved operational overrides. Do not delete or silently reset historical SLA KPI instances.</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FR-14</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Supervisor views</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Provide filterable views for unassigned, at-risk, breached, reopened, and older-than-target cases, with queue/team and date filters.</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4"/>
              </w:rPr>
              <w:t>FR-15</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4"/>
              </w:rPr>
              <w:t>Notifications</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4"/>
              </w:rPr>
              <w:t>Use approved email or in-app notifications. Templates include case number, priority, queue, KPI, target due time, and deep link, subject to access rights.</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FR-16</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Monitoring</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Log routing outcomes, fallback use, and automation failures with correlation to the case. Provide an operational way to identify failed asynchronous actions.</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4"/>
              </w:rPr>
              <w:t>FR-17</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4"/>
              </w:rPr>
              <w:t>Existing channel regression</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4"/>
              </w:rPr>
              <w:t>Existing manual case entry, email-to-case, contact association, case entitlement, and closure behaviour continue unless stated otherwise.</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4"/>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FR-18</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Admin configuration</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Authorized CRM administrators can update mapping values, queues, calendars, and notification thresholds with change control.</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Should</w:t>
            </w:r>
          </w:p>
        </w:tc>
      </w:tr>
    </w:tbl>
    <w:p>
      <w:pPr>
        <w:spacing w:after="0"/>
      </w:pPr>
    </w:p>
    <w:p>
      <w:pPr>
        <w:pStyle w:val="Heading1"/>
      </w:pPr>
      <w:r>
        <w:t>7. Business Rules and SLA Logic</w:t>
      </w:r>
    </w:p>
    <w:p>
      <w:pPr>
        <w:pStyle w:val="Heading2"/>
      </w:pPr>
      <w:r>
        <w:t>7.1 Priority matrix</w:t>
      </w:r>
    </w:p>
    <w:tbl>
      <w:tblPr>
        <w:tblStyle w:val="TableGrid"/>
        <w:tblW w:type="auto" w:w="0"/>
        <w:jc w:val="center"/>
        <w:tblLayout w:type="fixed"/>
        <w:tblLook w:firstColumn="1" w:firstRow="1" w:lastColumn="0" w:lastRow="0" w:noHBand="0" w:noVBand="1" w:val="04A0"/>
      </w:tblPr>
      <w:tblGrid>
        <w:gridCol w:w="1656"/>
        <w:gridCol w:w="1872"/>
        <w:gridCol w:w="1944"/>
        <w:gridCol w:w="4608"/>
      </w:tblGrid>
      <w:tr>
        <w:trPr>
          <w:tblHeader w:val="true"/>
        </w:trPr>
        <w:tc>
          <w:tcPr>
            <w:tcW w:type="dxa" w:w="1656"/>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Severity</w:t>
            </w:r>
          </w:p>
        </w:tc>
        <w:tc>
          <w:tcPr>
            <w:tcW w:type="dxa" w:w="1872"/>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Impact</w:t>
            </w:r>
          </w:p>
        </w:tc>
        <w:tc>
          <w:tcPr>
            <w:tcW w:type="dxa" w:w="1944"/>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Initial priority</w:t>
            </w:r>
          </w:p>
        </w:tc>
        <w:tc>
          <w:tcPr>
            <w:tcW w:type="dxa" w:w="4608"/>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Illustrative handling</w:t>
            </w:r>
          </w:p>
        </w:tc>
      </w:tr>
      <w:tr>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5"/>
              </w:rPr>
              <w:t>Critical</w:t>
            </w:r>
          </w:p>
        </w:tc>
        <w:tc>
          <w:tcPr>
            <w:tcW w:type="dxa" w:w="1872"/>
            <w:vAlign w:val="center"/>
            <w:tcMar>
              <w:top w:w="80" w:type="dxa"/>
              <w:start w:w="100" w:type="dxa"/>
              <w:bottom w:w="80" w:type="dxa"/>
              <w:end w:w="100" w:type="dxa"/>
            </w:tcMar>
          </w:tcPr>
          <w:p>
            <w:pPr>
              <w:spacing w:after="0" w:before="0" w:line="240" w:lineRule="auto"/>
            </w:pPr>
            <w:r/>
            <w:r>
              <w:rPr>
                <w:rFonts w:ascii="Aptos" w:hAnsi="Aptos"/>
                <w:b w:val="0"/>
                <w:color w:val="243746"/>
                <w:sz w:val="15"/>
              </w:rPr>
              <w:t>High or Medium</w:t>
            </w:r>
          </w:p>
        </w:tc>
        <w:tc>
          <w:tcPr>
            <w:tcW w:type="dxa" w:w="1944"/>
            <w:vAlign w:val="center"/>
            <w:tcMar>
              <w:top w:w="80" w:type="dxa"/>
              <w:start w:w="100" w:type="dxa"/>
              <w:bottom w:w="80" w:type="dxa"/>
              <w:end w:w="100" w:type="dxa"/>
            </w:tcMar>
          </w:tcPr>
          <w:p>
            <w:pPr>
              <w:spacing w:after="0" w:before="0" w:line="240" w:lineRule="auto"/>
            </w:pPr>
            <w:r/>
            <w:r>
              <w:rPr>
                <w:rFonts w:ascii="Aptos" w:hAnsi="Aptos"/>
                <w:b w:val="0"/>
                <w:color w:val="243746"/>
                <w:sz w:val="15"/>
              </w:rPr>
              <w:t>P1 - Critical</w:t>
            </w:r>
          </w:p>
        </w:tc>
        <w:tc>
          <w:tcPr>
            <w:tcW w:type="dxa" w:w="4608"/>
            <w:vAlign w:val="center"/>
            <w:tcMar>
              <w:top w:w="80" w:type="dxa"/>
              <w:start w:w="100" w:type="dxa"/>
              <w:bottom w:w="80" w:type="dxa"/>
              <w:end w:w="100" w:type="dxa"/>
            </w:tcMar>
          </w:tcPr>
          <w:p>
            <w:pPr>
              <w:spacing w:after="0" w:before="0" w:line="240" w:lineRule="auto"/>
            </w:pPr>
            <w:r/>
            <w:r>
              <w:rPr>
                <w:rFonts w:ascii="Aptos" w:hAnsi="Aptos"/>
                <w:b w:val="0"/>
                <w:color w:val="243746"/>
                <w:sz w:val="15"/>
              </w:rPr>
              <w:t>Immediate queue assignment and shortest target.</w:t>
            </w:r>
          </w:p>
        </w:tc>
      </w:tr>
      <w:tr>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Critical</w:t>
            </w:r>
          </w:p>
        </w:tc>
        <w:tc>
          <w:tcPr>
            <w:tcW w:type="dxa" w:w="18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Low</w:t>
            </w:r>
          </w:p>
        </w:tc>
        <w:tc>
          <w:tcPr>
            <w:tcW w:type="dxa" w:w="194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P2 - High</w:t>
            </w:r>
          </w:p>
        </w:tc>
        <w:tc>
          <w:tcPr>
            <w:tcW w:type="dxa" w:w="460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Priority queue with supervisor visibility.</w:t>
            </w:r>
          </w:p>
        </w:tc>
      </w:tr>
      <w:tr>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5"/>
              </w:rPr>
              <w:t>High</w:t>
            </w:r>
          </w:p>
        </w:tc>
        <w:tc>
          <w:tcPr>
            <w:tcW w:type="dxa" w:w="1872"/>
            <w:vAlign w:val="center"/>
            <w:tcMar>
              <w:top w:w="80" w:type="dxa"/>
              <w:start w:w="100" w:type="dxa"/>
              <w:bottom w:w="80" w:type="dxa"/>
              <w:end w:w="100" w:type="dxa"/>
            </w:tcMar>
          </w:tcPr>
          <w:p>
            <w:pPr>
              <w:spacing w:after="0" w:before="0" w:line="240" w:lineRule="auto"/>
            </w:pPr>
            <w:r/>
            <w:r>
              <w:rPr>
                <w:rFonts w:ascii="Aptos" w:hAnsi="Aptos"/>
                <w:b w:val="0"/>
                <w:color w:val="243746"/>
                <w:sz w:val="15"/>
              </w:rPr>
              <w:t>High</w:t>
            </w:r>
          </w:p>
        </w:tc>
        <w:tc>
          <w:tcPr>
            <w:tcW w:type="dxa" w:w="1944"/>
            <w:vAlign w:val="center"/>
            <w:tcMar>
              <w:top w:w="80" w:type="dxa"/>
              <w:start w:w="100" w:type="dxa"/>
              <w:bottom w:w="80" w:type="dxa"/>
              <w:end w:w="100" w:type="dxa"/>
            </w:tcMar>
          </w:tcPr>
          <w:p>
            <w:pPr>
              <w:spacing w:after="0" w:before="0" w:line="240" w:lineRule="auto"/>
            </w:pPr>
            <w:r/>
            <w:r>
              <w:rPr>
                <w:rFonts w:ascii="Aptos" w:hAnsi="Aptos"/>
                <w:b w:val="0"/>
                <w:color w:val="243746"/>
                <w:sz w:val="15"/>
              </w:rPr>
              <w:t>P1 - Critical</w:t>
            </w:r>
          </w:p>
        </w:tc>
        <w:tc>
          <w:tcPr>
            <w:tcW w:type="dxa" w:w="4608"/>
            <w:vAlign w:val="center"/>
            <w:tcMar>
              <w:top w:w="80" w:type="dxa"/>
              <w:start w:w="100" w:type="dxa"/>
              <w:bottom w:w="80" w:type="dxa"/>
              <w:end w:w="100" w:type="dxa"/>
            </w:tcMar>
          </w:tcPr>
          <w:p>
            <w:pPr>
              <w:spacing w:after="0" w:before="0" w:line="240" w:lineRule="auto"/>
            </w:pPr>
            <w:r/>
            <w:r>
              <w:rPr>
                <w:rFonts w:ascii="Aptos" w:hAnsi="Aptos"/>
                <w:b w:val="0"/>
                <w:color w:val="243746"/>
                <w:sz w:val="15"/>
              </w:rPr>
              <w:t>Priority queue and at-risk alert.</w:t>
            </w:r>
          </w:p>
        </w:tc>
      </w:tr>
      <w:tr>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High</w:t>
            </w:r>
          </w:p>
        </w:tc>
        <w:tc>
          <w:tcPr>
            <w:tcW w:type="dxa" w:w="18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Medium or Low</w:t>
            </w:r>
          </w:p>
        </w:tc>
        <w:tc>
          <w:tcPr>
            <w:tcW w:type="dxa" w:w="194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P2 - High</w:t>
            </w:r>
          </w:p>
        </w:tc>
        <w:tc>
          <w:tcPr>
            <w:tcW w:type="dxa" w:w="460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Standard specialist routing.</w:t>
            </w:r>
          </w:p>
        </w:tc>
      </w:tr>
      <w:tr>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5"/>
              </w:rPr>
              <w:t>Medium</w:t>
            </w:r>
          </w:p>
        </w:tc>
        <w:tc>
          <w:tcPr>
            <w:tcW w:type="dxa" w:w="1872"/>
            <w:vAlign w:val="center"/>
            <w:tcMar>
              <w:top w:w="80" w:type="dxa"/>
              <w:start w:w="100" w:type="dxa"/>
              <w:bottom w:w="80" w:type="dxa"/>
              <w:end w:w="100" w:type="dxa"/>
            </w:tcMar>
          </w:tcPr>
          <w:p>
            <w:pPr>
              <w:spacing w:after="0" w:before="0" w:line="240" w:lineRule="auto"/>
            </w:pPr>
            <w:r/>
            <w:r>
              <w:rPr>
                <w:rFonts w:ascii="Aptos" w:hAnsi="Aptos"/>
                <w:b w:val="0"/>
                <w:color w:val="243746"/>
                <w:sz w:val="15"/>
              </w:rPr>
              <w:t>High</w:t>
            </w:r>
          </w:p>
        </w:tc>
        <w:tc>
          <w:tcPr>
            <w:tcW w:type="dxa" w:w="1944"/>
            <w:vAlign w:val="center"/>
            <w:tcMar>
              <w:top w:w="80" w:type="dxa"/>
              <w:start w:w="100" w:type="dxa"/>
              <w:bottom w:w="80" w:type="dxa"/>
              <w:end w:w="100" w:type="dxa"/>
            </w:tcMar>
          </w:tcPr>
          <w:p>
            <w:pPr>
              <w:spacing w:after="0" w:before="0" w:line="240" w:lineRule="auto"/>
            </w:pPr>
            <w:r/>
            <w:r>
              <w:rPr>
                <w:rFonts w:ascii="Aptos" w:hAnsi="Aptos"/>
                <w:b w:val="0"/>
                <w:color w:val="243746"/>
                <w:sz w:val="15"/>
              </w:rPr>
              <w:t>P2 - High</w:t>
            </w:r>
          </w:p>
        </w:tc>
        <w:tc>
          <w:tcPr>
            <w:tcW w:type="dxa" w:w="4608"/>
            <w:vAlign w:val="center"/>
            <w:tcMar>
              <w:top w:w="80" w:type="dxa"/>
              <w:start w:w="100" w:type="dxa"/>
              <w:bottom w:w="80" w:type="dxa"/>
              <w:end w:w="100" w:type="dxa"/>
            </w:tcMar>
          </w:tcPr>
          <w:p>
            <w:pPr>
              <w:spacing w:after="0" w:before="0" w:line="240" w:lineRule="auto"/>
            </w:pPr>
            <w:r/>
            <w:r>
              <w:rPr>
                <w:rFonts w:ascii="Aptos" w:hAnsi="Aptos"/>
                <w:b w:val="0"/>
                <w:color w:val="243746"/>
                <w:sz w:val="15"/>
              </w:rPr>
              <w:t>Specialist queue.</w:t>
            </w:r>
          </w:p>
        </w:tc>
      </w:tr>
      <w:tr>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Medium</w:t>
            </w:r>
          </w:p>
        </w:tc>
        <w:tc>
          <w:tcPr>
            <w:tcW w:type="dxa" w:w="18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Medium or Low</w:t>
            </w:r>
          </w:p>
        </w:tc>
        <w:tc>
          <w:tcPr>
            <w:tcW w:type="dxa" w:w="194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P3 - Normal</w:t>
            </w:r>
          </w:p>
        </w:tc>
        <w:tc>
          <w:tcPr>
            <w:tcW w:type="dxa" w:w="460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Standard queue.</w:t>
            </w:r>
          </w:p>
        </w:tc>
      </w:tr>
      <w:tr>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5"/>
              </w:rPr>
              <w:t>Low</w:t>
            </w:r>
          </w:p>
        </w:tc>
        <w:tc>
          <w:tcPr>
            <w:tcW w:type="dxa" w:w="1872"/>
            <w:vAlign w:val="center"/>
            <w:tcMar>
              <w:top w:w="80" w:type="dxa"/>
              <w:start w:w="100" w:type="dxa"/>
              <w:bottom w:w="80" w:type="dxa"/>
              <w:end w:w="100" w:type="dxa"/>
            </w:tcMar>
          </w:tcPr>
          <w:p>
            <w:pPr>
              <w:spacing w:after="0" w:before="0" w:line="240" w:lineRule="auto"/>
            </w:pPr>
            <w:r/>
            <w:r>
              <w:rPr>
                <w:rFonts w:ascii="Aptos" w:hAnsi="Aptos"/>
                <w:b w:val="0"/>
                <w:color w:val="243746"/>
                <w:sz w:val="15"/>
              </w:rPr>
              <w:t>Any</w:t>
            </w:r>
          </w:p>
        </w:tc>
        <w:tc>
          <w:tcPr>
            <w:tcW w:type="dxa" w:w="1944"/>
            <w:vAlign w:val="center"/>
            <w:tcMar>
              <w:top w:w="80" w:type="dxa"/>
              <w:start w:w="100" w:type="dxa"/>
              <w:bottom w:w="80" w:type="dxa"/>
              <w:end w:w="100" w:type="dxa"/>
            </w:tcMar>
          </w:tcPr>
          <w:p>
            <w:pPr>
              <w:spacing w:after="0" w:before="0" w:line="240" w:lineRule="auto"/>
            </w:pPr>
            <w:r/>
            <w:r>
              <w:rPr>
                <w:rFonts w:ascii="Aptos" w:hAnsi="Aptos"/>
                <w:b w:val="0"/>
                <w:color w:val="243746"/>
                <w:sz w:val="15"/>
              </w:rPr>
              <w:t>P4 - Low</w:t>
            </w:r>
          </w:p>
        </w:tc>
        <w:tc>
          <w:tcPr>
            <w:tcW w:type="dxa" w:w="4608"/>
            <w:vAlign w:val="center"/>
            <w:tcMar>
              <w:top w:w="80" w:type="dxa"/>
              <w:start w:w="100" w:type="dxa"/>
              <w:bottom w:w="80" w:type="dxa"/>
              <w:end w:w="100" w:type="dxa"/>
            </w:tcMar>
          </w:tcPr>
          <w:p>
            <w:pPr>
              <w:spacing w:after="0" w:before="0" w:line="240" w:lineRule="auto"/>
            </w:pPr>
            <w:r/>
            <w:r>
              <w:rPr>
                <w:rFonts w:ascii="Aptos" w:hAnsi="Aptos"/>
                <w:b w:val="0"/>
                <w:color w:val="243746"/>
                <w:sz w:val="15"/>
              </w:rPr>
              <w:t>General queue unless product matrix overrides.</w:t>
            </w:r>
          </w:p>
        </w:tc>
      </w:tr>
    </w:tbl>
    <w:p>
      <w:pPr>
        <w:spacing w:after="0"/>
      </w:pPr>
    </w:p>
    <w:p>
      <w:pPr>
        <w:pStyle w:val="Heading2"/>
      </w:pPr>
      <w:r>
        <w:t>7.2 SLA timing rules</w:t>
      </w:r>
    </w:p>
    <w:p>
      <w:pPr>
        <w:pStyle w:val="ListBullet"/>
        <w:spacing w:after="40"/>
        <w:ind w:left="360" w:hanging="216"/>
      </w:pPr>
      <w:r>
        <w:t>A qualifying first response is a public outbound email or documented customer-facing response activity linked to the case; an internal note alone does not satisfy the KPI.</w:t>
      </w:r>
    </w:p>
    <w:p>
      <w:pPr>
        <w:pStyle w:val="ListBullet"/>
        <w:spacing w:after="40"/>
        <w:ind w:left="360" w:hanging="216"/>
      </w:pPr>
      <w:r>
        <w:t>Resolution timing pauses only during approved waiting statuses; all other active states continue the timer.</w:t>
      </w:r>
    </w:p>
    <w:p>
      <w:pPr>
        <w:pStyle w:val="ListBullet"/>
        <w:spacing w:after="40"/>
        <w:ind w:left="360" w:hanging="216"/>
      </w:pPr>
      <w:r>
        <w:t>SLA clock uses the assigned service calendar and business-hour windows, not raw elapsed 24-hour time.</w:t>
      </w:r>
    </w:p>
    <w:p>
      <w:pPr>
        <w:pStyle w:val="ListBullet"/>
        <w:spacing w:after="40"/>
        <w:ind w:left="360" w:hanging="216"/>
      </w:pPr>
      <w:r>
        <w:t>The at-risk threshold is triggered once for a KPI instance; repeated recalculation must not duplicate notifications.</w:t>
      </w:r>
    </w:p>
    <w:p>
      <w:pPr>
        <w:pStyle w:val="ListBullet"/>
        <w:spacing w:after="40"/>
        <w:ind w:left="360" w:hanging="216"/>
      </w:pPr>
      <w:r>
        <w:t>Reopening a resolved case creates or resumes the resolution KPI according to the approved rule; the first-response KPI is not reset after it has been satisfied.</w:t>
      </w:r>
    </w:p>
    <w:p>
      <w:pPr>
        <w:pStyle w:val="ListBullet"/>
        <w:spacing w:after="40"/>
        <w:ind w:left="360" w:hanging="216"/>
      </w:pPr>
      <w:r>
        <w:t>A priority change may cause a target change only under an agreed recalculation policy; previous KPI history must remain auditable.</w:t>
      </w:r>
    </w:p>
    <w:p>
      <w:pPr>
        <w:pStyle w:val="Heading2"/>
      </w:pPr>
      <w:r>
        <w:t>7.3 Target matrix dependency</w:t>
      </w:r>
    </w:p>
    <w:p>
      <w:r>
        <w:t>Exact first-response and resolution durations by priority and customer tier must be approved by Service Operations before configuration. This BRD defines timer behaviour and routing but leaves commercial SLA values to the approved target matrix.</w:t>
      </w:r>
    </w:p>
    <w:p>
      <w:pPr>
        <w:pStyle w:val="Heading1"/>
      </w:pPr>
      <w:r>
        <w:t>8. Data, Configuration, and Integration Requirements</w:t>
      </w:r>
    </w:p>
    <w:p>
      <w:pPr>
        <w:pStyle w:val="Heading2"/>
      </w:pPr>
      <w:r>
        <w:t>8.1 Data and configuration</w:t>
      </w:r>
    </w:p>
    <w:tbl>
      <w:tblPr>
        <w:tblStyle w:val="TableGrid"/>
        <w:tblW w:type="auto" w:w="0"/>
        <w:jc w:val="center"/>
        <w:tblLayout w:type="fixed"/>
        <w:tblLook w:firstColumn="1" w:firstRow="1" w:lastColumn="0" w:lastRow="0" w:noHBand="0" w:noVBand="1" w:val="04A0"/>
      </w:tblPr>
      <w:tblGrid>
        <w:gridCol w:w="2088"/>
        <w:gridCol w:w="3888"/>
        <w:gridCol w:w="4104"/>
      </w:tblGrid>
      <w:tr>
        <w:trPr>
          <w:tblHeader w:val="true"/>
        </w:trPr>
        <w:tc>
          <w:tcPr>
            <w:tcW w:type="dxa" w:w="2088"/>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Object</w:t>
            </w:r>
          </w:p>
        </w:tc>
        <w:tc>
          <w:tcPr>
            <w:tcW w:type="dxa" w:w="3888"/>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Purpose</w:t>
            </w:r>
          </w:p>
        </w:tc>
        <w:tc>
          <w:tcPr>
            <w:tcW w:type="dxa" w:w="4104"/>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Key considerations</w:t>
            </w:r>
          </w:p>
        </w:tc>
      </w:tr>
      <w:tr>
        <w:tc>
          <w:tcPr>
            <w:tcW w:type="dxa" w:w="2088"/>
            <w:vAlign w:val="center"/>
            <w:tcMar>
              <w:top w:w="80" w:type="dxa"/>
              <w:start w:w="100" w:type="dxa"/>
              <w:bottom w:w="80" w:type="dxa"/>
              <w:end w:w="100" w:type="dxa"/>
            </w:tcMar>
          </w:tcPr>
          <w:p>
            <w:pPr>
              <w:spacing w:after="0" w:before="0" w:line="240" w:lineRule="auto"/>
            </w:pPr>
            <w:r/>
            <w:r>
              <w:rPr>
                <w:rFonts w:ascii="Aptos" w:hAnsi="Aptos"/>
                <w:b w:val="0"/>
                <w:color w:val="243746"/>
                <w:sz w:val="15"/>
              </w:rPr>
              <w:t>Case attributes</w:t>
            </w:r>
          </w:p>
        </w:tc>
        <w:tc>
          <w:tcPr>
            <w:tcW w:type="dxa" w:w="3888"/>
            <w:vAlign w:val="center"/>
            <w:tcMar>
              <w:top w:w="80" w:type="dxa"/>
              <w:start w:w="100" w:type="dxa"/>
              <w:bottom w:w="80" w:type="dxa"/>
              <w:end w:w="100" w:type="dxa"/>
            </w:tcMar>
          </w:tcPr>
          <w:p>
            <w:pPr>
              <w:spacing w:after="0" w:before="0" w:line="240" w:lineRule="auto"/>
            </w:pPr>
            <w:r/>
            <w:r>
              <w:rPr>
                <w:rFonts w:ascii="Aptos" w:hAnsi="Aptos"/>
                <w:b w:val="0"/>
                <w:color w:val="243746"/>
                <w:sz w:val="15"/>
              </w:rPr>
              <w:t>Routing and priority inputs</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5"/>
              </w:rPr>
              <w:t>Reuse existing columns where possible; exact logical names require environment review.</w:t>
            </w:r>
          </w:p>
        </w:tc>
      </w:tr>
      <w:tr>
        <w:tc>
          <w:tcPr>
            <w:tcW w:type="dxa" w:w="208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Routing matrix</w:t>
            </w:r>
          </w:p>
        </w:tc>
        <w:tc>
          <w:tcPr>
            <w:tcW w:type="dxa" w:w="388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Map product/type/tier combinations to queue and fallback rule</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Business-maintained reference data; effective dates should be considered.</w:t>
            </w:r>
          </w:p>
        </w:tc>
      </w:tr>
      <w:tr>
        <w:tc>
          <w:tcPr>
            <w:tcW w:type="dxa" w:w="2088"/>
            <w:vAlign w:val="center"/>
            <w:tcMar>
              <w:top w:w="80" w:type="dxa"/>
              <w:start w:w="100" w:type="dxa"/>
              <w:bottom w:w="80" w:type="dxa"/>
              <w:end w:w="100" w:type="dxa"/>
            </w:tcMar>
          </w:tcPr>
          <w:p>
            <w:pPr>
              <w:spacing w:after="0" w:before="0" w:line="240" w:lineRule="auto"/>
            </w:pPr>
            <w:r/>
            <w:r>
              <w:rPr>
                <w:rFonts w:ascii="Aptos" w:hAnsi="Aptos"/>
                <w:b w:val="0"/>
                <w:color w:val="243746"/>
                <w:sz w:val="15"/>
              </w:rPr>
              <w:t>Queue and team</w:t>
            </w:r>
          </w:p>
        </w:tc>
        <w:tc>
          <w:tcPr>
            <w:tcW w:type="dxa" w:w="3888"/>
            <w:vAlign w:val="center"/>
            <w:tcMar>
              <w:top w:w="80" w:type="dxa"/>
              <w:start w:w="100" w:type="dxa"/>
              <w:bottom w:w="80" w:type="dxa"/>
              <w:end w:w="100" w:type="dxa"/>
            </w:tcMar>
          </w:tcPr>
          <w:p>
            <w:pPr>
              <w:spacing w:after="0" w:before="0" w:line="240" w:lineRule="auto"/>
            </w:pPr>
            <w:r/>
            <w:r>
              <w:rPr>
                <w:rFonts w:ascii="Aptos" w:hAnsi="Aptos"/>
                <w:b w:val="0"/>
                <w:color w:val="243746"/>
                <w:sz w:val="15"/>
              </w:rPr>
              <w:t>Assignment destination and escalation audience</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5"/>
              </w:rPr>
              <w:t>Confirm existing queues, membership, and access.</w:t>
            </w:r>
          </w:p>
        </w:tc>
      </w:tr>
      <w:tr>
        <w:tc>
          <w:tcPr>
            <w:tcW w:type="dxa" w:w="208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SLA KPI definition</w:t>
            </w:r>
          </w:p>
        </w:tc>
        <w:tc>
          <w:tcPr>
            <w:tcW w:type="dxa" w:w="388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First response and resolution targets</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Business-hour calendar, start/pause/success conditions, failure action.</w:t>
            </w:r>
          </w:p>
        </w:tc>
      </w:tr>
      <w:tr>
        <w:tc>
          <w:tcPr>
            <w:tcW w:type="dxa" w:w="2088"/>
            <w:vAlign w:val="center"/>
            <w:tcMar>
              <w:top w:w="80" w:type="dxa"/>
              <w:start w:w="100" w:type="dxa"/>
              <w:bottom w:w="80" w:type="dxa"/>
              <w:end w:w="100" w:type="dxa"/>
            </w:tcMar>
          </w:tcPr>
          <w:p>
            <w:pPr>
              <w:spacing w:after="0" w:before="0" w:line="240" w:lineRule="auto"/>
            </w:pPr>
            <w:r/>
            <w:r>
              <w:rPr>
                <w:rFonts w:ascii="Aptos" w:hAnsi="Aptos"/>
                <w:b w:val="0"/>
                <w:color w:val="243746"/>
                <w:sz w:val="15"/>
              </w:rPr>
              <w:t>Service calendar</w:t>
            </w:r>
          </w:p>
        </w:tc>
        <w:tc>
          <w:tcPr>
            <w:tcW w:type="dxa" w:w="3888"/>
            <w:vAlign w:val="center"/>
            <w:tcMar>
              <w:top w:w="80" w:type="dxa"/>
              <w:start w:w="100" w:type="dxa"/>
              <w:bottom w:w="80" w:type="dxa"/>
              <w:end w:w="100" w:type="dxa"/>
            </w:tcMar>
          </w:tcPr>
          <w:p>
            <w:pPr>
              <w:spacing w:after="0" w:before="0" w:line="240" w:lineRule="auto"/>
            </w:pPr>
            <w:r/>
            <w:r>
              <w:rPr>
                <w:rFonts w:ascii="Aptos" w:hAnsi="Aptos"/>
                <w:b w:val="0"/>
                <w:color w:val="243746"/>
                <w:sz w:val="15"/>
              </w:rPr>
              <w:t>Working hours and holiday schedule</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5"/>
              </w:rPr>
              <w:t>Regional calendars and daylight-saving behaviour require test coverage.</w:t>
            </w:r>
          </w:p>
        </w:tc>
      </w:tr>
      <w:tr>
        <w:tc>
          <w:tcPr>
            <w:tcW w:type="dxa" w:w="208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Priority override history</w:t>
            </w:r>
          </w:p>
        </w:tc>
        <w:tc>
          <w:tcPr>
            <w:tcW w:type="dxa" w:w="388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Track original/calculated priority, new priority, reason, actor, timestamp</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Use audit capability or an approved related record pattern.</w:t>
            </w:r>
          </w:p>
        </w:tc>
      </w:tr>
      <w:tr>
        <w:tc>
          <w:tcPr>
            <w:tcW w:type="dxa" w:w="2088"/>
            <w:vAlign w:val="center"/>
            <w:tcMar>
              <w:top w:w="80" w:type="dxa"/>
              <w:start w:w="100" w:type="dxa"/>
              <w:bottom w:w="80" w:type="dxa"/>
              <w:end w:w="100" w:type="dxa"/>
            </w:tcMar>
          </w:tcPr>
          <w:p>
            <w:pPr>
              <w:spacing w:after="0" w:before="0" w:line="240" w:lineRule="auto"/>
            </w:pPr>
            <w:r/>
            <w:r>
              <w:rPr>
                <w:rFonts w:ascii="Aptos" w:hAnsi="Aptos"/>
                <w:b w:val="0"/>
                <w:color w:val="243746"/>
                <w:sz w:val="15"/>
              </w:rPr>
              <w:t>Routing/notification event</w:t>
            </w:r>
          </w:p>
        </w:tc>
        <w:tc>
          <w:tcPr>
            <w:tcW w:type="dxa" w:w="3888"/>
            <w:vAlign w:val="center"/>
            <w:tcMar>
              <w:top w:w="80" w:type="dxa"/>
              <w:start w:w="100" w:type="dxa"/>
              <w:bottom w:w="80" w:type="dxa"/>
              <w:end w:w="100" w:type="dxa"/>
            </w:tcMar>
          </w:tcPr>
          <w:p>
            <w:pPr>
              <w:spacing w:after="0" w:before="0" w:line="240" w:lineRule="auto"/>
            </w:pPr>
            <w:r/>
            <w:r>
              <w:rPr>
                <w:rFonts w:ascii="Aptos" w:hAnsi="Aptos"/>
                <w:b w:val="0"/>
                <w:color w:val="243746"/>
                <w:sz w:val="15"/>
              </w:rPr>
              <w:t>Operational trace for outcome, fallback, retry, and failure</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5"/>
              </w:rPr>
              <w:t>Avoid duplicate alerts on retry.</w:t>
            </w:r>
          </w:p>
        </w:tc>
      </w:tr>
    </w:tbl>
    <w:p>
      <w:pPr>
        <w:spacing w:after="0"/>
      </w:pPr>
    </w:p>
    <w:p>
      <w:pPr>
        <w:pStyle w:val="Heading2"/>
      </w:pPr>
      <w:r>
        <w:t>8.2 Integration boundaries</w:t>
      </w:r>
    </w:p>
    <w:p>
      <w:r>
        <w:t>No new external service integration is planned. Existing email-to-case is a dependency and must be regression-tested. Notifications use supported Dynamics 365/Power Automate mechanisms available in the current tenant. A third-party monitoring connector is not included.</w:t>
      </w:r>
    </w:p>
    <w:p>
      <w:pPr>
        <w:pStyle w:val="Heading1"/>
      </w:pPr>
      <w:r>
        <w:t>9. Non-Functional Requirements</w:t>
      </w:r>
    </w:p>
    <w:tbl>
      <w:tblPr>
        <w:tblStyle w:val="TableGrid"/>
        <w:tblW w:type="auto" w:w="0"/>
        <w:jc w:val="center"/>
        <w:tblLayout w:type="fixed"/>
        <w:tblLook w:firstColumn="1" w:firstRow="1" w:lastColumn="0" w:lastRow="0" w:noHBand="0" w:noVBand="1" w:val="04A0"/>
      </w:tblPr>
      <w:tblGrid>
        <w:gridCol w:w="1008"/>
        <w:gridCol w:w="1800"/>
        <w:gridCol w:w="7272"/>
      </w:tblGrid>
      <w:tr>
        <w:trPr>
          <w:tblHeader w:val="true"/>
        </w:trPr>
        <w:tc>
          <w:tcPr>
            <w:tcW w:type="dxa" w:w="1008"/>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ID</w:t>
            </w:r>
          </w:p>
        </w:tc>
        <w:tc>
          <w:tcPr>
            <w:tcW w:type="dxa" w:w="1800"/>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Area</w:t>
            </w:r>
          </w:p>
        </w:tc>
        <w:tc>
          <w:tcPr>
            <w:tcW w:type="dxa" w:w="7272"/>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Requirement</w:t>
            </w:r>
          </w:p>
        </w:tc>
      </w:tr>
      <w:tr>
        <w:tc>
          <w:tcPr>
            <w:tcW w:type="dxa" w:w="1008"/>
            <w:vAlign w:val="center"/>
            <w:tcMar>
              <w:top w:w="80" w:type="dxa"/>
              <w:start w:w="100" w:type="dxa"/>
              <w:bottom w:w="80" w:type="dxa"/>
              <w:end w:w="100" w:type="dxa"/>
            </w:tcMar>
          </w:tcPr>
          <w:p>
            <w:pPr>
              <w:spacing w:after="0" w:before="0" w:line="240" w:lineRule="auto"/>
            </w:pPr>
            <w:r/>
            <w:r>
              <w:rPr>
                <w:rFonts w:ascii="Aptos" w:hAnsi="Aptos"/>
                <w:b w:val="0"/>
                <w:color w:val="243746"/>
                <w:sz w:val="15"/>
              </w:rPr>
              <w:t>NFR-01</w:t>
            </w:r>
          </w:p>
        </w:tc>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Performance</w:t>
            </w:r>
          </w:p>
        </w:tc>
        <w:tc>
          <w:tcPr>
            <w:tcW w:type="dxa" w:w="7272"/>
            <w:vAlign w:val="center"/>
            <w:tcMar>
              <w:top w:w="80" w:type="dxa"/>
              <w:start w:w="100" w:type="dxa"/>
              <w:bottom w:w="80" w:type="dxa"/>
              <w:end w:w="100" w:type="dxa"/>
            </w:tcMar>
          </w:tcPr>
          <w:p>
            <w:pPr>
              <w:spacing w:after="0" w:before="0" w:line="240" w:lineRule="auto"/>
            </w:pPr>
            <w:r/>
            <w:r>
              <w:rPr>
                <w:rFonts w:ascii="Aptos" w:hAnsi="Aptos"/>
                <w:b w:val="0"/>
                <w:color w:val="243746"/>
                <w:sz w:val="15"/>
              </w:rPr>
              <w:t>Routing configuration should not cause a visible delay beyond normal case save/creation behaviour under agreed test volume. Numeric baseline to be measured in Test.</w:t>
            </w:r>
          </w:p>
        </w:tc>
      </w:tr>
      <w:tr>
        <w:tc>
          <w:tcPr>
            <w:tcW w:type="dxa" w:w="100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NFR-02</w:t>
            </w:r>
          </w:p>
        </w:tc>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Reliability</w:t>
            </w:r>
          </w:p>
        </w:tc>
        <w:tc>
          <w:tcPr>
            <w:tcW w:type="dxa" w:w="72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Retries must not create duplicate follow-up tasks or duplicate notifications for a single KPI threshold event.</w:t>
            </w:r>
          </w:p>
        </w:tc>
      </w:tr>
      <w:tr>
        <w:tc>
          <w:tcPr>
            <w:tcW w:type="dxa" w:w="1008"/>
            <w:vAlign w:val="center"/>
            <w:tcMar>
              <w:top w:w="80" w:type="dxa"/>
              <w:start w:w="100" w:type="dxa"/>
              <w:bottom w:w="80" w:type="dxa"/>
              <w:end w:w="100" w:type="dxa"/>
            </w:tcMar>
          </w:tcPr>
          <w:p>
            <w:pPr>
              <w:spacing w:after="0" w:before="0" w:line="240" w:lineRule="auto"/>
            </w:pPr>
            <w:r/>
            <w:r>
              <w:rPr>
                <w:rFonts w:ascii="Aptos" w:hAnsi="Aptos"/>
                <w:b w:val="0"/>
                <w:color w:val="243746"/>
                <w:sz w:val="15"/>
              </w:rPr>
              <w:t>NFR-03</w:t>
            </w:r>
          </w:p>
        </w:tc>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Consistency</w:t>
            </w:r>
          </w:p>
        </w:tc>
        <w:tc>
          <w:tcPr>
            <w:tcW w:type="dxa" w:w="7272"/>
            <w:vAlign w:val="center"/>
            <w:tcMar>
              <w:top w:w="80" w:type="dxa"/>
              <w:start w:w="100" w:type="dxa"/>
              <w:bottom w:w="80" w:type="dxa"/>
              <w:end w:w="100" w:type="dxa"/>
            </w:tcMar>
          </w:tcPr>
          <w:p>
            <w:pPr>
              <w:spacing w:after="0" w:before="0" w:line="240" w:lineRule="auto"/>
            </w:pPr>
            <w:r/>
            <w:r>
              <w:rPr>
                <w:rFonts w:ascii="Aptos" w:hAnsi="Aptos"/>
                <w:b w:val="0"/>
                <w:color w:val="243746"/>
                <w:sz w:val="15"/>
              </w:rPr>
              <w:t>Priority and routing rules must be applied consistently to supported case creation channels.</w:t>
            </w:r>
          </w:p>
        </w:tc>
      </w:tr>
      <w:tr>
        <w:tc>
          <w:tcPr>
            <w:tcW w:type="dxa" w:w="100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NFR-04</w:t>
            </w:r>
          </w:p>
        </w:tc>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Auditability</w:t>
            </w:r>
          </w:p>
        </w:tc>
        <w:tc>
          <w:tcPr>
            <w:tcW w:type="dxa" w:w="72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Priority overrides, SLA exceptions, queue changes, and key automation failures must be traceable.</w:t>
            </w:r>
          </w:p>
        </w:tc>
      </w:tr>
      <w:tr>
        <w:tc>
          <w:tcPr>
            <w:tcW w:type="dxa" w:w="1008"/>
            <w:vAlign w:val="center"/>
            <w:tcMar>
              <w:top w:w="80" w:type="dxa"/>
              <w:start w:w="100" w:type="dxa"/>
              <w:bottom w:w="80" w:type="dxa"/>
              <w:end w:w="100" w:type="dxa"/>
            </w:tcMar>
          </w:tcPr>
          <w:p>
            <w:pPr>
              <w:spacing w:after="0" w:before="0" w:line="240" w:lineRule="auto"/>
            </w:pPr>
            <w:r/>
            <w:r>
              <w:rPr>
                <w:rFonts w:ascii="Aptos" w:hAnsi="Aptos"/>
                <w:b w:val="0"/>
                <w:color w:val="243746"/>
                <w:sz w:val="15"/>
              </w:rPr>
              <w:t>NFR-05</w:t>
            </w:r>
          </w:p>
        </w:tc>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Security</w:t>
            </w:r>
          </w:p>
        </w:tc>
        <w:tc>
          <w:tcPr>
            <w:tcW w:type="dxa" w:w="7272"/>
            <w:vAlign w:val="center"/>
            <w:tcMar>
              <w:top w:w="80" w:type="dxa"/>
              <w:start w:w="100" w:type="dxa"/>
              <w:bottom w:w="80" w:type="dxa"/>
              <w:end w:w="100" w:type="dxa"/>
            </w:tcMar>
          </w:tcPr>
          <w:p>
            <w:pPr>
              <w:spacing w:after="0" w:before="0" w:line="240" w:lineRule="auto"/>
            </w:pPr>
            <w:r/>
            <w:r>
              <w:rPr>
                <w:rFonts w:ascii="Aptos" w:hAnsi="Aptos"/>
                <w:b w:val="0"/>
                <w:color w:val="243746"/>
                <w:sz w:val="15"/>
              </w:rPr>
              <w:t>No notification may expose case details to a recipient without authorized case access.</w:t>
            </w:r>
          </w:p>
        </w:tc>
      </w:tr>
      <w:tr>
        <w:tc>
          <w:tcPr>
            <w:tcW w:type="dxa" w:w="100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NFR-06</w:t>
            </w:r>
          </w:p>
        </w:tc>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Maintainability</w:t>
            </w:r>
          </w:p>
        </w:tc>
        <w:tc>
          <w:tcPr>
            <w:tcW w:type="dxa" w:w="72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Routing rules, business hours, and notification thresholds should be configuration-driven when supported.</w:t>
            </w:r>
          </w:p>
        </w:tc>
      </w:tr>
      <w:tr>
        <w:tc>
          <w:tcPr>
            <w:tcW w:type="dxa" w:w="1008"/>
            <w:vAlign w:val="center"/>
            <w:tcMar>
              <w:top w:w="80" w:type="dxa"/>
              <w:start w:w="100" w:type="dxa"/>
              <w:bottom w:w="80" w:type="dxa"/>
              <w:end w:w="100" w:type="dxa"/>
            </w:tcMar>
          </w:tcPr>
          <w:p>
            <w:pPr>
              <w:spacing w:after="0" w:before="0" w:line="240" w:lineRule="auto"/>
            </w:pPr>
            <w:r/>
            <w:r>
              <w:rPr>
                <w:rFonts w:ascii="Aptos" w:hAnsi="Aptos"/>
                <w:b w:val="0"/>
                <w:color w:val="243746"/>
                <w:sz w:val="15"/>
              </w:rPr>
              <w:t>NFR-07</w:t>
            </w:r>
          </w:p>
        </w:tc>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ALM</w:t>
            </w:r>
          </w:p>
        </w:tc>
        <w:tc>
          <w:tcPr>
            <w:tcW w:type="dxa" w:w="7272"/>
            <w:vAlign w:val="center"/>
            <w:tcMar>
              <w:top w:w="80" w:type="dxa"/>
              <w:start w:w="100" w:type="dxa"/>
              <w:bottom w:w="80" w:type="dxa"/>
              <w:end w:w="100" w:type="dxa"/>
            </w:tcMar>
          </w:tcPr>
          <w:p>
            <w:pPr>
              <w:spacing w:after="0" w:before="0" w:line="240" w:lineRule="auto"/>
            </w:pPr>
            <w:r/>
            <w:r>
              <w:rPr>
                <w:rFonts w:ascii="Aptos" w:hAnsi="Aptos"/>
                <w:b w:val="0"/>
                <w:color w:val="243746"/>
                <w:sz w:val="15"/>
              </w:rPr>
              <w:t>All form, column, routing, SLA, automation, and view changes are solution-aware and deployable Dev to Test to Production.</w:t>
            </w:r>
          </w:p>
        </w:tc>
      </w:tr>
      <w:tr>
        <w:tc>
          <w:tcPr>
            <w:tcW w:type="dxa" w:w="100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NFR-08</w:t>
            </w:r>
          </w:p>
        </w:tc>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Compatibility</w:t>
            </w:r>
          </w:p>
        </w:tc>
        <w:tc>
          <w:tcPr>
            <w:tcW w:type="dxa" w:w="72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Validate supported browser/app versions and existing form scripts/command customizations.</w:t>
            </w:r>
          </w:p>
        </w:tc>
      </w:tr>
    </w:tbl>
    <w:p>
      <w:pPr>
        <w:spacing w:after="0"/>
      </w:pPr>
    </w:p>
    <w:p>
      <w:pPr>
        <w:pStyle w:val="Heading1"/>
      </w:pPr>
      <w:r>
        <w:t>10. Security, Reporting, and Compliance</w:t>
      </w:r>
    </w:p>
    <w:p>
      <w:pPr>
        <w:pStyle w:val="Heading2"/>
      </w:pPr>
      <w:r>
        <w:t>10.1 Security</w:t>
      </w:r>
    </w:p>
    <w:p>
      <w:pPr>
        <w:pStyle w:val="ListBullet"/>
        <w:spacing w:after="40"/>
        <w:ind w:left="360" w:hanging="216"/>
      </w:pPr>
      <w:r>
        <w:t>Use existing Dynamics 365 security roles and team ownership; identify any privilege gaps before adding privileges.</w:t>
      </w:r>
    </w:p>
    <w:p>
      <w:pPr>
        <w:pStyle w:val="ListBullet"/>
        <w:spacing w:after="40"/>
        <w:ind w:left="360" w:hanging="216"/>
      </w:pPr>
      <w:r>
        <w:t>Only supervisors can apply priority overrides and SLA exceptions.</w:t>
      </w:r>
    </w:p>
    <w:p>
      <w:pPr>
        <w:pStyle w:val="ListBullet"/>
        <w:spacing w:after="40"/>
        <w:ind w:left="360" w:hanging="216"/>
      </w:pPr>
      <w:r>
        <w:t>Email notifications include only minimum necessary case fields and respect record permissions.</w:t>
      </w:r>
    </w:p>
    <w:p>
      <w:pPr>
        <w:pStyle w:val="ListBullet"/>
        <w:spacing w:after="40"/>
        <w:ind w:left="360" w:hanging="216"/>
      </w:pPr>
      <w:r>
        <w:t>Production configuration changes follow the organization’s change-management process.</w:t>
      </w:r>
    </w:p>
    <w:p>
      <w:pPr>
        <w:pStyle w:val="Heading2"/>
      </w:pPr>
      <w:r>
        <w:t>10.2 Reporting</w:t>
      </w:r>
    </w:p>
    <w:p>
      <w:r>
        <w:t>Provide views/charts for daily queue management, SLA risk, breach counts by priority/customer tier, routing fallback usage, and reopened cases. Trend dashboards and historical data warehouse integration are not required in the first release.</w:t>
      </w:r>
    </w:p>
    <w:p>
      <w:pPr>
        <w:pStyle w:val="Heading2"/>
      </w:pPr>
      <w:r>
        <w:t>10.3 Retention</w:t>
      </w:r>
    </w:p>
    <w:p>
      <w:r>
        <w:t>Follow the existing Dataverse audit retention settings. The business must confirm whether priority override and SLA exception history needs a longer retention period than standard case audit.</w:t>
      </w:r>
    </w:p>
    <w:p>
      <w:pPr>
        <w:pStyle w:val="Heading1"/>
      </w:pPr>
      <w:r>
        <w:t>11. Assumptions, Dependencies, Constraints, and Risks</w:t>
      </w:r>
    </w:p>
    <w:p>
      <w:pPr>
        <w:pStyle w:val="Heading2"/>
      </w:pPr>
      <w:r>
        <w:t>11.1 Assumptions</w:t>
      </w:r>
    </w:p>
    <w:p>
      <w:pPr>
        <w:pStyle w:val="ListBullet"/>
        <w:spacing w:after="40"/>
        <w:ind w:left="360" w:hanging="216"/>
      </w:pPr>
      <w:r>
        <w:t>The tenant already uses Dynamics 365 Customer Service with case queues and supported email-to-case.</w:t>
      </w:r>
    </w:p>
    <w:p>
      <w:pPr>
        <w:pStyle w:val="ListBullet"/>
        <w:spacing w:after="40"/>
        <w:ind w:left="360" w:hanging="216"/>
      </w:pPr>
      <w:r>
        <w:t>A named service owner will approve routing combinations, priority mapping, calendars, and customer-tier targets.</w:t>
      </w:r>
    </w:p>
    <w:p>
      <w:pPr>
        <w:pStyle w:val="ListBullet"/>
        <w:spacing w:after="40"/>
        <w:ind w:left="360" w:hanging="216"/>
      </w:pPr>
      <w:r>
        <w:t>Case volume is within the current environment’s supported operational range; no platform migration is required.</w:t>
      </w:r>
    </w:p>
    <w:p>
      <w:pPr>
        <w:pStyle w:val="ListBullet"/>
        <w:spacing w:after="40"/>
        <w:ind w:left="360" w:hanging="216"/>
      </w:pPr>
      <w:r>
        <w:t>Standard Dynamics 365 SLA KPI functionality is preferred where it meets the requirements.</w:t>
      </w:r>
    </w:p>
    <w:p>
      <w:pPr>
        <w:pStyle w:val="Heading2"/>
      </w:pPr>
      <w:r>
        <w:t>11.2 Dependencies</w:t>
      </w:r>
    </w:p>
    <w:p>
      <w:pPr>
        <w:pStyle w:val="ListBullet"/>
        <w:spacing w:after="40"/>
        <w:ind w:left="360" w:hanging="216"/>
      </w:pPr>
      <w:r>
        <w:t>Inventory of current case columns, forms, flows, plug-ins, routing rules, queues, and SLA configurations.</w:t>
      </w:r>
    </w:p>
    <w:p>
      <w:pPr>
        <w:pStyle w:val="ListBullet"/>
        <w:spacing w:after="40"/>
        <w:ind w:left="360" w:hanging="216"/>
      </w:pPr>
      <w:r>
        <w:t>Approved support calendars and holiday schedules for applicable customer tiers/regions.</w:t>
      </w:r>
    </w:p>
    <w:p>
      <w:pPr>
        <w:pStyle w:val="ListBullet"/>
        <w:spacing w:after="40"/>
        <w:ind w:left="360" w:hanging="216"/>
      </w:pPr>
      <w:r>
        <w:t>Access to Dev/Test environments and a representative set of test cases.</w:t>
      </w:r>
    </w:p>
    <w:p>
      <w:pPr>
        <w:pStyle w:val="ListBullet"/>
        <w:spacing w:after="40"/>
        <w:ind w:left="360" w:hanging="216"/>
      </w:pPr>
      <w:r>
        <w:t>Confirmation of notification sender, mailbox, permissions, and escalation recipients.</w:t>
      </w:r>
    </w:p>
    <w:p>
      <w:pPr>
        <w:pStyle w:val="Heading2"/>
      </w:pPr>
      <w:r>
        <w:t>11.3 Risks and mitigations</w:t>
      </w:r>
    </w:p>
    <w:tbl>
      <w:tblPr>
        <w:tblStyle w:val="TableGrid"/>
        <w:tblW w:type="auto" w:w="0"/>
        <w:jc w:val="center"/>
        <w:tblLayout w:type="fixed"/>
        <w:tblLook w:firstColumn="1" w:firstRow="1" w:lastColumn="0" w:lastRow="0" w:noHBand="0" w:noVBand="1" w:val="04A0"/>
      </w:tblPr>
      <w:tblGrid>
        <w:gridCol w:w="2376"/>
        <w:gridCol w:w="3816"/>
        <w:gridCol w:w="3816"/>
      </w:tblGrid>
      <w:tr>
        <w:trPr>
          <w:tblHeader w:val="true"/>
        </w:trPr>
        <w:tc>
          <w:tcPr>
            <w:tcW w:type="dxa" w:w="2376"/>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Risk</w:t>
            </w:r>
          </w:p>
        </w:tc>
        <w:tc>
          <w:tcPr>
            <w:tcW w:type="dxa" w:w="3816"/>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Impact</w:t>
            </w:r>
          </w:p>
        </w:tc>
        <w:tc>
          <w:tcPr>
            <w:tcW w:type="dxa" w:w="3816"/>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Mitigation</w:t>
            </w:r>
          </w:p>
        </w:tc>
      </w:tr>
      <w:tr>
        <w:tc>
          <w:tcPr>
            <w:tcW w:type="dxa" w:w="2376"/>
            <w:vAlign w:val="center"/>
            <w:tcMar>
              <w:top w:w="80" w:type="dxa"/>
              <w:start w:w="100" w:type="dxa"/>
              <w:bottom w:w="80" w:type="dxa"/>
              <w:end w:w="100" w:type="dxa"/>
            </w:tcMar>
          </w:tcPr>
          <w:p>
            <w:pPr>
              <w:spacing w:after="0" w:before="0" w:line="240" w:lineRule="auto"/>
            </w:pPr>
            <w:r/>
            <w:r>
              <w:rPr>
                <w:rFonts w:ascii="Aptos" w:hAnsi="Aptos"/>
                <w:b w:val="0"/>
                <w:color w:val="243746"/>
                <w:sz w:val="15"/>
              </w:rPr>
              <w:t>Existing customizations overlap new routing</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color w:val="243746"/>
                <w:sz w:val="15"/>
              </w:rPr>
              <w:t>Duplicate assignment or broken save behaviour.</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color w:val="243746"/>
                <w:sz w:val="15"/>
              </w:rPr>
              <w:t>Inspect solution layers and existing automation before design; regression-test.</w:t>
            </w:r>
          </w:p>
        </w:tc>
      </w:tr>
      <w:tr>
        <w:tc>
          <w:tcPr>
            <w:tcW w:type="dxa" w:w="237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SLA pause/reopen rules are ambiguous</w:t>
            </w:r>
          </w:p>
        </w:tc>
        <w:tc>
          <w:tcPr>
            <w:tcW w:type="dxa" w:w="381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Timers differ from business expectations.</w:t>
            </w:r>
          </w:p>
        </w:tc>
        <w:tc>
          <w:tcPr>
            <w:tcW w:type="dxa" w:w="381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Approve state-transition matrix and execute scenario-based UAT.</w:t>
            </w:r>
          </w:p>
        </w:tc>
      </w:tr>
      <w:tr>
        <w:tc>
          <w:tcPr>
            <w:tcW w:type="dxa" w:w="2376"/>
            <w:vAlign w:val="center"/>
            <w:tcMar>
              <w:top w:w="80" w:type="dxa"/>
              <w:start w:w="100" w:type="dxa"/>
              <w:bottom w:w="80" w:type="dxa"/>
              <w:end w:w="100" w:type="dxa"/>
            </w:tcMar>
          </w:tcPr>
          <w:p>
            <w:pPr>
              <w:spacing w:after="0" w:before="0" w:line="240" w:lineRule="auto"/>
            </w:pPr>
            <w:r/>
            <w:r>
              <w:rPr>
                <w:rFonts w:ascii="Aptos" w:hAnsi="Aptos"/>
                <w:b w:val="0"/>
                <w:color w:val="243746"/>
                <w:sz w:val="15"/>
              </w:rPr>
              <w:t>Missing routing attributes</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color w:val="243746"/>
                <w:sz w:val="15"/>
              </w:rPr>
              <w:t>Cases repeatedly land in fallback queue.</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color w:val="243746"/>
                <w:sz w:val="15"/>
              </w:rPr>
              <w:t>Measure fallback rate and establish mandatory field guidance.</w:t>
            </w:r>
          </w:p>
        </w:tc>
      </w:tr>
      <w:tr>
        <w:tc>
          <w:tcPr>
            <w:tcW w:type="dxa" w:w="237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Notification automation retries</w:t>
            </w:r>
          </w:p>
        </w:tc>
        <w:tc>
          <w:tcPr>
            <w:tcW w:type="dxa" w:w="381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Duplicate alerts and supervisor tasks.</w:t>
            </w:r>
          </w:p>
        </w:tc>
        <w:tc>
          <w:tcPr>
            <w:tcW w:type="dxa" w:w="381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Use idempotent event tracking and negative/retry tests.</w:t>
            </w:r>
          </w:p>
        </w:tc>
      </w:tr>
      <w:tr>
        <w:tc>
          <w:tcPr>
            <w:tcW w:type="dxa" w:w="2376"/>
            <w:vAlign w:val="center"/>
            <w:tcMar>
              <w:top w:w="80" w:type="dxa"/>
              <w:start w:w="100" w:type="dxa"/>
              <w:bottom w:w="80" w:type="dxa"/>
              <w:end w:w="100" w:type="dxa"/>
            </w:tcMar>
          </w:tcPr>
          <w:p>
            <w:pPr>
              <w:spacing w:after="0" w:before="0" w:line="240" w:lineRule="auto"/>
            </w:pPr>
            <w:r/>
            <w:r>
              <w:rPr>
                <w:rFonts w:ascii="Aptos" w:hAnsi="Aptos"/>
                <w:b w:val="0"/>
                <w:color w:val="243746"/>
                <w:sz w:val="15"/>
              </w:rPr>
              <w:t>Business-hour/calendar edge cases</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color w:val="243746"/>
                <w:sz w:val="15"/>
              </w:rPr>
              <w:t>Incorrect deadlines around weekends or holidays.</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color w:val="243746"/>
                <w:sz w:val="15"/>
              </w:rPr>
              <w:t>Test overnight, weekend, holiday, and daylight-saving boundary scenarios.</w:t>
            </w:r>
          </w:p>
        </w:tc>
      </w:tr>
    </w:tbl>
    <w:p>
      <w:pPr>
        <w:spacing w:after="0"/>
      </w:pPr>
    </w:p>
    <w:p>
      <w:pPr>
        <w:pStyle w:val="Heading1"/>
      </w:pPr>
      <w:r>
        <w:t>12. Acceptance Criteria and Test Scenarios</w:t>
      </w:r>
    </w:p>
    <w:tbl>
      <w:tblPr>
        <w:tblStyle w:val="TableGrid"/>
        <w:tblW w:type="auto" w:w="0"/>
        <w:jc w:val="center"/>
        <w:tblLayout w:type="fixed"/>
        <w:tblLook w:firstColumn="1" w:firstRow="1" w:lastColumn="0" w:lastRow="0" w:noHBand="0" w:noVBand="1" w:val="04A0"/>
      </w:tblPr>
      <w:tblGrid>
        <w:gridCol w:w="864"/>
        <w:gridCol w:w="4104"/>
        <w:gridCol w:w="5184"/>
      </w:tblGrid>
      <w:tr>
        <w:trPr>
          <w:tblHeader w:val="true"/>
        </w:trPr>
        <w:tc>
          <w:tcPr>
            <w:tcW w:type="dxa" w:w="864"/>
            <w:vAlign w:val="center"/>
            <w:tcMar>
              <w:top w:w="80" w:type="dxa"/>
              <w:start w:w="100" w:type="dxa"/>
              <w:bottom w:w="80" w:type="dxa"/>
              <w:end w:w="100" w:type="dxa"/>
            </w:tcMar>
            <w:shd w:fill="163B5C"/>
          </w:tcPr>
          <w:p>
            <w:pPr>
              <w:spacing w:after="0" w:before="0" w:line="240" w:lineRule="auto"/>
            </w:pPr>
            <w:r/>
            <w:r>
              <w:rPr>
                <w:rFonts w:ascii="Aptos" w:hAnsi="Aptos"/>
                <w:b/>
                <w:color w:val="FFFFFF"/>
                <w:sz w:val="14"/>
              </w:rPr>
              <w:t>ID</w:t>
            </w:r>
          </w:p>
        </w:tc>
        <w:tc>
          <w:tcPr>
            <w:tcW w:type="dxa" w:w="4104"/>
            <w:vAlign w:val="center"/>
            <w:tcMar>
              <w:top w:w="80" w:type="dxa"/>
              <w:start w:w="100" w:type="dxa"/>
              <w:bottom w:w="80" w:type="dxa"/>
              <w:end w:w="100" w:type="dxa"/>
            </w:tcMar>
            <w:shd w:fill="163B5C"/>
          </w:tcPr>
          <w:p>
            <w:pPr>
              <w:spacing w:after="0" w:before="0" w:line="240" w:lineRule="auto"/>
            </w:pPr>
            <w:r/>
            <w:r>
              <w:rPr>
                <w:rFonts w:ascii="Aptos" w:hAnsi="Aptos"/>
                <w:b/>
                <w:color w:val="FFFFFF"/>
                <w:sz w:val="14"/>
              </w:rPr>
              <w:t>Scenario</w:t>
            </w:r>
          </w:p>
        </w:tc>
        <w:tc>
          <w:tcPr>
            <w:tcW w:type="dxa" w:w="5184"/>
            <w:vAlign w:val="center"/>
            <w:tcMar>
              <w:top w:w="80" w:type="dxa"/>
              <w:start w:w="100" w:type="dxa"/>
              <w:bottom w:w="80" w:type="dxa"/>
              <w:end w:w="100" w:type="dxa"/>
            </w:tcMar>
            <w:shd w:fill="163B5C"/>
          </w:tcPr>
          <w:p>
            <w:pPr>
              <w:spacing w:after="0" w:before="0" w:line="240" w:lineRule="auto"/>
            </w:pPr>
            <w:r/>
            <w:r>
              <w:rPr>
                <w:rFonts w:ascii="Aptos" w:hAnsi="Aptos"/>
                <w:b/>
                <w:color w:val="FFFFFF"/>
                <w:sz w:val="14"/>
              </w:rPr>
              <w:t>Expected result</w:t>
            </w:r>
          </w:p>
        </w:tc>
      </w:tr>
      <w:tr>
        <w:tc>
          <w:tcPr>
            <w:tcW w:type="dxa" w:w="864"/>
            <w:vAlign w:val="center"/>
            <w:tcMar>
              <w:top w:w="80" w:type="dxa"/>
              <w:start w:w="100" w:type="dxa"/>
              <w:bottom w:w="80" w:type="dxa"/>
              <w:end w:w="100" w:type="dxa"/>
            </w:tcMar>
          </w:tcPr>
          <w:p>
            <w:pPr>
              <w:spacing w:after="0" w:before="0" w:line="240" w:lineRule="auto"/>
            </w:pPr>
            <w:r/>
            <w:r>
              <w:rPr>
                <w:rFonts w:ascii="Aptos" w:hAnsi="Aptos"/>
                <w:b w:val="0"/>
                <w:color w:val="243746"/>
                <w:sz w:val="14"/>
              </w:rPr>
              <w:t>AC-01</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4"/>
              </w:rPr>
              <w:t>Create case with a supported product/type/tier combination.</w:t>
            </w:r>
          </w:p>
        </w:tc>
        <w:tc>
          <w:tcPr>
            <w:tcW w:type="dxa" w:w="5184"/>
            <w:vAlign w:val="center"/>
            <w:tcMar>
              <w:top w:w="80" w:type="dxa"/>
              <w:start w:w="100" w:type="dxa"/>
              <w:bottom w:w="80" w:type="dxa"/>
              <w:end w:w="100" w:type="dxa"/>
            </w:tcMar>
          </w:tcPr>
          <w:p>
            <w:pPr>
              <w:spacing w:after="0" w:before="0" w:line="240" w:lineRule="auto"/>
            </w:pPr>
            <w:r/>
            <w:r>
              <w:rPr>
                <w:rFonts w:ascii="Aptos" w:hAnsi="Aptos"/>
                <w:b w:val="0"/>
                <w:color w:val="243746"/>
                <w:sz w:val="14"/>
              </w:rPr>
              <w:t>Case is assigned to the expected queue and records routing outcome.</w:t>
            </w:r>
          </w:p>
        </w:tc>
      </w:tr>
      <w:tr>
        <w:tc>
          <w:tcPr>
            <w:tcW w:type="dxa" w:w="8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AC-02</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Create a case with a missing routing attribute or unmapped combination.</w:t>
            </w:r>
          </w:p>
        </w:tc>
        <w:tc>
          <w:tcPr>
            <w:tcW w:type="dxa" w:w="518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Case moves to General Triage and records a fallback reason; the case is not left unassigned.</w:t>
            </w:r>
          </w:p>
        </w:tc>
      </w:tr>
      <w:tr>
        <w:tc>
          <w:tcPr>
            <w:tcW w:type="dxa" w:w="864"/>
            <w:vAlign w:val="center"/>
            <w:tcMar>
              <w:top w:w="80" w:type="dxa"/>
              <w:start w:w="100" w:type="dxa"/>
              <w:bottom w:w="80" w:type="dxa"/>
              <w:end w:w="100" w:type="dxa"/>
            </w:tcMar>
          </w:tcPr>
          <w:p>
            <w:pPr>
              <w:spacing w:after="0" w:before="0" w:line="240" w:lineRule="auto"/>
            </w:pPr>
            <w:r/>
            <w:r>
              <w:rPr>
                <w:rFonts w:ascii="Aptos" w:hAnsi="Aptos"/>
                <w:b w:val="0"/>
                <w:color w:val="243746"/>
                <w:sz w:val="14"/>
              </w:rPr>
              <w:t>AC-03</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4"/>
              </w:rPr>
              <w:t>Change severity/impact on an active case.</w:t>
            </w:r>
          </w:p>
        </w:tc>
        <w:tc>
          <w:tcPr>
            <w:tcW w:type="dxa" w:w="5184"/>
            <w:vAlign w:val="center"/>
            <w:tcMar>
              <w:top w:w="80" w:type="dxa"/>
              <w:start w:w="100" w:type="dxa"/>
              <w:bottom w:w="80" w:type="dxa"/>
              <w:end w:w="100" w:type="dxa"/>
            </w:tcMar>
          </w:tcPr>
          <w:p>
            <w:pPr>
              <w:spacing w:after="0" w:before="0" w:line="240" w:lineRule="auto"/>
            </w:pPr>
            <w:r/>
            <w:r>
              <w:rPr>
                <w:rFonts w:ascii="Aptos" w:hAnsi="Aptos"/>
                <w:b w:val="0"/>
                <w:color w:val="243746"/>
                <w:sz w:val="14"/>
              </w:rPr>
              <w:t>Priority recalculates according to policy unless a permitted override rule applies.</w:t>
            </w:r>
          </w:p>
        </w:tc>
      </w:tr>
      <w:tr>
        <w:tc>
          <w:tcPr>
            <w:tcW w:type="dxa" w:w="8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AC-04</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Supervisor overrides priority without reason.</w:t>
            </w:r>
          </w:p>
        </w:tc>
        <w:tc>
          <w:tcPr>
            <w:tcW w:type="dxa" w:w="518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Update is rejected and reason is requested.</w:t>
            </w:r>
          </w:p>
        </w:tc>
      </w:tr>
      <w:tr>
        <w:tc>
          <w:tcPr>
            <w:tcW w:type="dxa" w:w="864"/>
            <w:vAlign w:val="center"/>
            <w:tcMar>
              <w:top w:w="80" w:type="dxa"/>
              <w:start w:w="100" w:type="dxa"/>
              <w:bottom w:w="80" w:type="dxa"/>
              <w:end w:w="100" w:type="dxa"/>
            </w:tcMar>
          </w:tcPr>
          <w:p>
            <w:pPr>
              <w:spacing w:after="0" w:before="0" w:line="240" w:lineRule="auto"/>
            </w:pPr>
            <w:r/>
            <w:r>
              <w:rPr>
                <w:rFonts w:ascii="Aptos" w:hAnsi="Aptos"/>
                <w:b w:val="0"/>
                <w:color w:val="243746"/>
                <w:sz w:val="14"/>
              </w:rPr>
              <w:t>AC-05</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4"/>
              </w:rPr>
              <w:t>Case enters Waiting on Customer.</w:t>
            </w:r>
          </w:p>
        </w:tc>
        <w:tc>
          <w:tcPr>
            <w:tcW w:type="dxa" w:w="5184"/>
            <w:vAlign w:val="center"/>
            <w:tcMar>
              <w:top w:w="80" w:type="dxa"/>
              <w:start w:w="100" w:type="dxa"/>
              <w:bottom w:w="80" w:type="dxa"/>
              <w:end w:w="100" w:type="dxa"/>
            </w:tcMar>
          </w:tcPr>
          <w:p>
            <w:pPr>
              <w:spacing w:after="0" w:before="0" w:line="240" w:lineRule="auto"/>
            </w:pPr>
            <w:r/>
            <w:r>
              <w:rPr>
                <w:rFonts w:ascii="Aptos" w:hAnsi="Aptos"/>
                <w:b w:val="0"/>
                <w:color w:val="243746"/>
                <w:sz w:val="14"/>
              </w:rPr>
              <w:t>Resolution KPI pauses; first-response KPI remains in its existing terminal state if already satisfied.</w:t>
            </w:r>
          </w:p>
        </w:tc>
      </w:tr>
      <w:tr>
        <w:tc>
          <w:tcPr>
            <w:tcW w:type="dxa" w:w="8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AC-06</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Case returns from a pause status.</w:t>
            </w:r>
          </w:p>
        </w:tc>
        <w:tc>
          <w:tcPr>
            <w:tcW w:type="dxa" w:w="518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Resolution timer resumes under the approved SLA rule.</w:t>
            </w:r>
          </w:p>
        </w:tc>
      </w:tr>
      <w:tr>
        <w:tc>
          <w:tcPr>
            <w:tcW w:type="dxa" w:w="864"/>
            <w:vAlign w:val="center"/>
            <w:tcMar>
              <w:top w:w="80" w:type="dxa"/>
              <w:start w:w="100" w:type="dxa"/>
              <w:bottom w:w="80" w:type="dxa"/>
              <w:end w:w="100" w:type="dxa"/>
            </w:tcMar>
          </w:tcPr>
          <w:p>
            <w:pPr>
              <w:spacing w:after="0" w:before="0" w:line="240" w:lineRule="auto"/>
            </w:pPr>
            <w:r/>
            <w:r>
              <w:rPr>
                <w:rFonts w:ascii="Aptos" w:hAnsi="Aptos"/>
                <w:b w:val="0"/>
                <w:color w:val="243746"/>
                <w:sz w:val="14"/>
              </w:rPr>
              <w:t>AC-07</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4"/>
              </w:rPr>
              <w:t>Customer receives a public response but an internal note is also added.</w:t>
            </w:r>
          </w:p>
        </w:tc>
        <w:tc>
          <w:tcPr>
            <w:tcW w:type="dxa" w:w="5184"/>
            <w:vAlign w:val="center"/>
            <w:tcMar>
              <w:top w:w="80" w:type="dxa"/>
              <w:start w:w="100" w:type="dxa"/>
              <w:bottom w:w="80" w:type="dxa"/>
              <w:end w:w="100" w:type="dxa"/>
            </w:tcMar>
          </w:tcPr>
          <w:p>
            <w:pPr>
              <w:spacing w:after="0" w:before="0" w:line="240" w:lineRule="auto"/>
            </w:pPr>
            <w:r/>
            <w:r>
              <w:rPr>
                <w:rFonts w:ascii="Aptos" w:hAnsi="Aptos"/>
                <w:b w:val="0"/>
                <w:color w:val="243746"/>
                <w:sz w:val="14"/>
              </w:rPr>
              <w:t>Only the qualifying public response satisfies First Response.</w:t>
            </w:r>
          </w:p>
        </w:tc>
      </w:tr>
      <w:tr>
        <w:tc>
          <w:tcPr>
            <w:tcW w:type="dxa" w:w="8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AC-08</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Timer crosses the at-risk threshold and automation retries.</w:t>
            </w:r>
          </w:p>
        </w:tc>
        <w:tc>
          <w:tcPr>
            <w:tcW w:type="dxa" w:w="518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One at-risk notification is sent for the KPI threshold crossing.</w:t>
            </w:r>
          </w:p>
        </w:tc>
      </w:tr>
      <w:tr>
        <w:tc>
          <w:tcPr>
            <w:tcW w:type="dxa" w:w="864"/>
            <w:vAlign w:val="center"/>
            <w:tcMar>
              <w:top w:w="80" w:type="dxa"/>
              <w:start w:w="100" w:type="dxa"/>
              <w:bottom w:w="80" w:type="dxa"/>
              <w:end w:w="100" w:type="dxa"/>
            </w:tcMar>
          </w:tcPr>
          <w:p>
            <w:pPr>
              <w:spacing w:after="0" w:before="0" w:line="240" w:lineRule="auto"/>
            </w:pPr>
            <w:r/>
            <w:r>
              <w:rPr>
                <w:rFonts w:ascii="Aptos" w:hAnsi="Aptos"/>
                <w:b w:val="0"/>
                <w:color w:val="243746"/>
                <w:sz w:val="14"/>
              </w:rPr>
              <w:t>AC-09</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4"/>
              </w:rPr>
              <w:t>Case remains breached for four business hours.</w:t>
            </w:r>
          </w:p>
        </w:tc>
        <w:tc>
          <w:tcPr>
            <w:tcW w:type="dxa" w:w="5184"/>
            <w:vAlign w:val="center"/>
            <w:tcMar>
              <w:top w:w="80" w:type="dxa"/>
              <w:start w:w="100" w:type="dxa"/>
              <w:bottom w:w="80" w:type="dxa"/>
              <w:end w:w="100" w:type="dxa"/>
            </w:tcMar>
          </w:tcPr>
          <w:p>
            <w:pPr>
              <w:spacing w:after="0" w:before="0" w:line="240" w:lineRule="auto"/>
            </w:pPr>
            <w:r/>
            <w:r>
              <w:rPr>
                <w:rFonts w:ascii="Aptos" w:hAnsi="Aptos"/>
                <w:b w:val="0"/>
                <w:color w:val="243746"/>
                <w:sz w:val="14"/>
              </w:rPr>
              <w:t>One supervisor follow-up task is created and breach status remains visible.</w:t>
            </w:r>
          </w:p>
        </w:tc>
      </w:tr>
      <w:tr>
        <w:tc>
          <w:tcPr>
            <w:tcW w:type="dxa" w:w="8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AC-10</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Case is reopened after resolution.</w:t>
            </w:r>
          </w:p>
        </w:tc>
        <w:tc>
          <w:tcPr>
            <w:tcW w:type="dxa" w:w="518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Resolution KPI follows approved restart/resume behaviour; first-response result is not incorrectly reset.</w:t>
            </w:r>
          </w:p>
        </w:tc>
      </w:tr>
      <w:tr>
        <w:tc>
          <w:tcPr>
            <w:tcW w:type="dxa" w:w="864"/>
            <w:vAlign w:val="center"/>
            <w:tcMar>
              <w:top w:w="80" w:type="dxa"/>
              <w:start w:w="100" w:type="dxa"/>
              <w:bottom w:w="80" w:type="dxa"/>
              <w:end w:w="100" w:type="dxa"/>
            </w:tcMar>
          </w:tcPr>
          <w:p>
            <w:pPr>
              <w:spacing w:after="0" w:before="0" w:line="240" w:lineRule="auto"/>
            </w:pPr>
            <w:r/>
            <w:r>
              <w:rPr>
                <w:rFonts w:ascii="Aptos" w:hAnsi="Aptos"/>
                <w:b w:val="0"/>
                <w:color w:val="243746"/>
                <w:sz w:val="14"/>
              </w:rPr>
              <w:t>AC-11</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4"/>
              </w:rPr>
              <w:t>Case is created by existing email-to-case channel.</w:t>
            </w:r>
          </w:p>
        </w:tc>
        <w:tc>
          <w:tcPr>
            <w:tcW w:type="dxa" w:w="5184"/>
            <w:vAlign w:val="center"/>
            <w:tcMar>
              <w:top w:w="80" w:type="dxa"/>
              <w:start w:w="100" w:type="dxa"/>
              <w:bottom w:w="80" w:type="dxa"/>
              <w:end w:w="100" w:type="dxa"/>
            </w:tcMar>
          </w:tcPr>
          <w:p>
            <w:pPr>
              <w:spacing w:after="0" w:before="0" w:line="240" w:lineRule="auto"/>
            </w:pPr>
            <w:r/>
            <w:r>
              <w:rPr>
                <w:rFonts w:ascii="Aptos" w:hAnsi="Aptos"/>
                <w:b w:val="0"/>
                <w:color w:val="243746"/>
                <w:sz w:val="14"/>
              </w:rPr>
              <w:t>Existing customer/contact association and case creation continue; routing and priority apply.</w:t>
            </w:r>
          </w:p>
        </w:tc>
      </w:tr>
      <w:tr>
        <w:tc>
          <w:tcPr>
            <w:tcW w:type="dxa" w:w="8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AC-12</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Notification recipient lacks case access.</w:t>
            </w:r>
          </w:p>
        </w:tc>
        <w:tc>
          <w:tcPr>
            <w:tcW w:type="dxa" w:w="518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4"/>
              </w:rPr>
              <w:t>Sensitive case data is not exposed; notification follows approved secure behaviour.</w:t>
            </w:r>
          </w:p>
        </w:tc>
      </w:tr>
      <w:tr>
        <w:tc>
          <w:tcPr>
            <w:tcW w:type="dxa" w:w="864"/>
            <w:vAlign w:val="center"/>
            <w:tcMar>
              <w:top w:w="80" w:type="dxa"/>
              <w:start w:w="100" w:type="dxa"/>
              <w:bottom w:w="80" w:type="dxa"/>
              <w:end w:w="100" w:type="dxa"/>
            </w:tcMar>
          </w:tcPr>
          <w:p>
            <w:pPr>
              <w:spacing w:after="0" w:before="0" w:line="240" w:lineRule="auto"/>
            </w:pPr>
            <w:r/>
            <w:r>
              <w:rPr>
                <w:rFonts w:ascii="Aptos" w:hAnsi="Aptos"/>
                <w:b w:val="0"/>
                <w:color w:val="243746"/>
                <w:sz w:val="14"/>
              </w:rPr>
              <w:t>AC-13</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4"/>
              </w:rPr>
              <w:t>Case due time spans a weekend or holiday.</w:t>
            </w:r>
          </w:p>
        </w:tc>
        <w:tc>
          <w:tcPr>
            <w:tcW w:type="dxa" w:w="5184"/>
            <w:vAlign w:val="center"/>
            <w:tcMar>
              <w:top w:w="80" w:type="dxa"/>
              <w:start w:w="100" w:type="dxa"/>
              <w:bottom w:w="80" w:type="dxa"/>
              <w:end w:w="100" w:type="dxa"/>
            </w:tcMar>
          </w:tcPr>
          <w:p>
            <w:pPr>
              <w:spacing w:after="0" w:before="0" w:line="240" w:lineRule="auto"/>
            </w:pPr>
            <w:r/>
            <w:r>
              <w:rPr>
                <w:rFonts w:ascii="Aptos" w:hAnsi="Aptos"/>
                <w:b w:val="0"/>
                <w:color w:val="243746"/>
                <w:sz w:val="14"/>
              </w:rPr>
              <w:t>SLA due time uses the configured service calendar.</w:t>
            </w:r>
          </w:p>
        </w:tc>
      </w:tr>
    </w:tbl>
    <w:p>
      <w:pPr>
        <w:spacing w:after="0"/>
      </w:pPr>
    </w:p>
    <w:p>
      <w:pPr>
        <w:pStyle w:val="Heading1"/>
      </w:pPr>
      <w:r>
        <w:t>13. Open Questions</w:t>
      </w:r>
    </w:p>
    <w:p>
      <w:pPr>
        <w:pStyle w:val="ListBullet"/>
        <w:spacing w:after="40"/>
        <w:ind w:left="360" w:hanging="216"/>
      </w:pPr>
      <w:r>
        <w:t>What are the exact first-response and resolution targets by priority and customer tier?</w:t>
      </w:r>
    </w:p>
    <w:p>
      <w:pPr>
        <w:pStyle w:val="ListBullet"/>
        <w:spacing w:after="40"/>
        <w:ind w:left="360" w:hanging="216"/>
      </w:pPr>
      <w:r>
        <w:t>Which cases are exempt from automatic priority calculation?</w:t>
      </w:r>
    </w:p>
    <w:p>
      <w:pPr>
        <w:pStyle w:val="ListBullet"/>
        <w:spacing w:after="40"/>
        <w:ind w:left="360" w:hanging="216"/>
      </w:pPr>
      <w:r>
        <w:t>Should priority changes reset SLA target, leave the current KPI instance, or create a new KPI instance?</w:t>
      </w:r>
    </w:p>
    <w:p>
      <w:pPr>
        <w:pStyle w:val="ListBullet"/>
        <w:spacing w:after="40"/>
        <w:ind w:left="360" w:hanging="216"/>
      </w:pPr>
      <w:r>
        <w:t>What is the exact rule for reopened cases and repeated reopenings?</w:t>
      </w:r>
    </w:p>
    <w:p>
      <w:pPr>
        <w:pStyle w:val="ListBullet"/>
        <w:spacing w:after="40"/>
        <w:ind w:left="360" w:hanging="216"/>
      </w:pPr>
      <w:r>
        <w:t>Are all support teams using one calendar or region-specific calendars?</w:t>
      </w:r>
    </w:p>
    <w:p>
      <w:pPr>
        <w:pStyle w:val="ListBullet"/>
        <w:spacing w:after="40"/>
        <w:ind w:left="360" w:hanging="216"/>
      </w:pPr>
      <w:r>
        <w:t>Should breach notifications be sent by email, in-app notification, Teams, or a combination?</w:t>
      </w:r>
    </w:p>
    <w:p>
      <w:pPr>
        <w:pStyle w:val="ListBullet"/>
        <w:spacing w:after="40"/>
        <w:ind w:left="360" w:hanging="216"/>
      </w:pPr>
      <w:r>
        <w:t>What retention and audit policy applies to SLA exception reasons?</w:t>
      </w:r>
    </w:p>
    <w:p>
      <w:pPr>
        <w:pStyle w:val="Heading1"/>
      </w:pPr>
      <w:r>
        <w:t>14. Approval Readiness</w:t>
      </w:r>
    </w:p>
    <w:p>
      <w:r>
        <w:t>Before approval, the service owner must sign off the target matrix, priority override policy, and reopen/pause rules. Delivery planning must include regression coverage for existing case creation and email-to-case behaviour. Estimates and delivery dates are intentionally not asserted in this BRD.</w:t>
      </w:r>
    </w:p>
    <w:sectPr w:rsidR="00FC693F" w:rsidRPr="0006063C" w:rsidSect="00034616">
      <w:headerReference w:type="default" r:id="rId9"/>
      <w:footerReference w:type="default" r:id="rId10"/>
      <w:pgSz w:w="12240" w:h="15840"/>
      <w:pgMar w:top="979" w:right="1037" w:bottom="893" w:left="1037"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rFonts w:ascii="Aptos" w:hAnsi="Aptos"/>
        <w:color w:val="596B78"/>
        <w:sz w:val="16"/>
      </w:rPr>
      <w:t>Business requirements - draft for delivery estimation</w:t>
    </w:r>
  </w:p>
  <w:p>
    <w:pPr>
      <w:spacing w:before="0" w:after="0"/>
      <w:jc w:val="right"/>
    </w:pPr>
    <w:r>
      <w:rPr>
        <w:rFonts w:ascii="Aptos" w:hAnsi="Aptos"/>
        <w:color w:val="596B78"/>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8" w:space="4" w:color="2EA0D1"/>
      </w:pBdr>
    </w:pPr>
    <w:r/>
    <w:r>
      <w:rPr>
        <w:rFonts w:ascii="Aptos" w:hAnsi="Aptos"/>
        <w:b/>
        <w:color w:val="163B5C"/>
        <w:sz w:val="16"/>
      </w:rPr>
      <w:t>BUSINESS REQUIREMENTS DOCUMENT  |  DYNAMICS 365 CASE ROUTING AND SLA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4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63B5C"/>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EA0D1"/>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63B5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63B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Dynamics 365 Customer Service Case Routing and SLA Enhancement</dc:title>
  <dc:subject>Synthetic BRD for effort-estimation model validation</dc:subject>
  <dc:creator>Business Analysis / Delivery Planning</dc:creator>
  <cp:keywords>BRD, project estimation, requirements, test scenario</cp:keywords>
  <dc:description>generated by python-docx</dc:description>
  <cp:lastModifiedBy/>
  <cp:revision>1</cp:revision>
  <dcterms:created xsi:type="dcterms:W3CDTF">2013-12-23T23:15:00Z</dcterms:created>
  <dcterms:modified xsi:type="dcterms:W3CDTF">2013-12-23T23:15:00Z</dcterms:modified>
  <cp:category/>
</cp:coreProperties>
</file>