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172B4D"/>
          <w:sz w:val="46"/>
        </w:rPr>
        <w:t>BUSINESS REQUIREMENTS DOCUMENT</w:t>
      </w:r>
    </w:p>
    <w:p>
      <w:pPr>
        <w:spacing w:after="320"/>
      </w:pPr>
      <w:r>
        <w:rPr>
          <w:rFonts w:ascii="Calibri" w:hAnsi="Calibri"/>
          <w:b/>
          <w:color w:val="5B6573"/>
          <w:sz w:val="30"/>
        </w:rPr>
        <w:t>Dynamics 365 Lead Qualification Validation Enhancement</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shd w:fill="F2F4F7"/>
            <w:tcMar>
              <w:top w:w="80" w:type="dxa"/>
              <w:start w:w="120" w:type="dxa"/>
              <w:bottom w:w="80" w:type="dxa"/>
              <w:end w:w="120" w:type="dxa"/>
            </w:tcMar>
            <w:vAlign w:val="center"/>
          </w:tcPr>
          <w:p>
            <w:pPr>
              <w:spacing w:after="0"/>
            </w:pPr>
            <w:r>
              <w:rPr>
                <w:rFonts w:ascii="Calibri" w:hAnsi="Calibri"/>
                <w:b/>
                <w:color w:val="5B6573"/>
                <w:sz w:val="20"/>
              </w:rPr>
              <w:t>Document owner</w:t>
            </w:r>
          </w:p>
        </w:tc>
        <w:tc>
          <w:tcPr>
            <w:tcW w:type="dxa" w:w="7460"/>
            <w:tcMar>
              <w:top w:w="80" w:type="dxa"/>
              <w:start w:w="120" w:type="dxa"/>
              <w:bottom w:w="80" w:type="dxa"/>
              <w:end w:w="120" w:type="dxa"/>
            </w:tcMar>
            <w:vAlign w:val="center"/>
          </w:tcPr>
          <w:p>
            <w:pPr>
              <w:spacing w:after="0"/>
            </w:pPr>
            <w:r>
              <w:rPr>
                <w:rFonts w:ascii="Calibri" w:hAnsi="Calibri"/>
                <w:color w:val="111111"/>
                <w:sz w:val="20"/>
              </w:rPr>
              <w:t>Business Analysis / CRM Delivery</w:t>
            </w:r>
          </w:p>
        </w:tc>
      </w:tr>
      <w:tr>
        <w:tc>
          <w:tcPr>
            <w:tcW w:type="dxa" w:w="1900"/>
            <w:shd w:fill="F2F4F7"/>
            <w:tcMar>
              <w:top w:w="80" w:type="dxa"/>
              <w:start w:w="120" w:type="dxa"/>
              <w:bottom w:w="80" w:type="dxa"/>
              <w:end w:w="120" w:type="dxa"/>
            </w:tcMar>
            <w:vAlign w:val="center"/>
          </w:tcPr>
          <w:p>
            <w:pPr>
              <w:spacing w:after="0"/>
            </w:pPr>
            <w:r>
              <w:rPr>
                <w:rFonts w:ascii="Calibri" w:hAnsi="Calibri"/>
                <w:b/>
                <w:color w:val="5B6573"/>
                <w:sz w:val="20"/>
              </w:rPr>
              <w:t>Prepared for</w:t>
            </w:r>
          </w:p>
        </w:tc>
        <w:tc>
          <w:tcPr>
            <w:tcW w:type="dxa" w:w="7460"/>
            <w:tcMar>
              <w:top w:w="80" w:type="dxa"/>
              <w:start w:w="120" w:type="dxa"/>
              <w:bottom w:w="80" w:type="dxa"/>
              <w:end w:w="120" w:type="dxa"/>
            </w:tcMar>
            <w:vAlign w:val="center"/>
          </w:tcPr>
          <w:p>
            <w:pPr>
              <w:spacing w:after="0"/>
            </w:pPr>
            <w:r>
              <w:rPr>
                <w:rFonts w:ascii="Calibri" w:hAnsi="Calibri"/>
                <w:color w:val="111111"/>
                <w:sz w:val="20"/>
              </w:rPr>
              <w:t>Business and delivery stakeholder review</w:t>
            </w:r>
          </w:p>
        </w:tc>
      </w:tr>
      <w:tr>
        <w:tc>
          <w:tcPr>
            <w:tcW w:type="dxa" w:w="1900"/>
            <w:shd w:fill="F2F4F7"/>
            <w:tcMar>
              <w:top w:w="80" w:type="dxa"/>
              <w:start w:w="120" w:type="dxa"/>
              <w:bottom w:w="80" w:type="dxa"/>
              <w:end w:w="120" w:type="dxa"/>
            </w:tcMar>
            <w:vAlign w:val="center"/>
          </w:tcPr>
          <w:p>
            <w:pPr>
              <w:spacing w:after="0"/>
            </w:pPr>
            <w:r>
              <w:rPr>
                <w:rFonts w:ascii="Calibri" w:hAnsi="Calibri"/>
                <w:b/>
                <w:color w:val="5B6573"/>
                <w:sz w:val="20"/>
              </w:rPr>
              <w:t>Version</w:t>
            </w:r>
          </w:p>
        </w:tc>
        <w:tc>
          <w:tcPr>
            <w:tcW w:type="dxa" w:w="7460"/>
            <w:tcMar>
              <w:top w:w="80" w:type="dxa"/>
              <w:start w:w="120" w:type="dxa"/>
              <w:bottom w:w="80" w:type="dxa"/>
              <w:end w:w="120" w:type="dxa"/>
            </w:tcMar>
            <w:vAlign w:val="center"/>
          </w:tcPr>
          <w:p>
            <w:pPr>
              <w:spacing w:after="0"/>
            </w:pPr>
            <w:r>
              <w:rPr>
                <w:rFonts w:ascii="Calibri" w:hAnsi="Calibri"/>
                <w:color w:val="111111"/>
                <w:sz w:val="20"/>
              </w:rPr>
              <w:t>1.0</w:t>
            </w:r>
          </w:p>
        </w:tc>
      </w:tr>
      <w:tr>
        <w:tc>
          <w:tcPr>
            <w:tcW w:type="dxa" w:w="1900"/>
            <w:shd w:fill="F2F4F7"/>
            <w:tcMar>
              <w:top w:w="80" w:type="dxa"/>
              <w:start w:w="120" w:type="dxa"/>
              <w:bottom w:w="80" w:type="dxa"/>
              <w:end w:w="120" w:type="dxa"/>
            </w:tcMar>
            <w:vAlign w:val="center"/>
          </w:tcPr>
          <w:p>
            <w:pPr>
              <w:spacing w:after="0"/>
            </w:pPr>
            <w:r>
              <w:rPr>
                <w:rFonts w:ascii="Calibri" w:hAnsi="Calibri"/>
                <w:b/>
                <w:color w:val="5B6573"/>
                <w:sz w:val="20"/>
              </w:rPr>
              <w:t>Status</w:t>
            </w:r>
          </w:p>
        </w:tc>
        <w:tc>
          <w:tcPr>
            <w:tcW w:type="dxa" w:w="7460"/>
            <w:tcMar>
              <w:top w:w="80" w:type="dxa"/>
              <w:start w:w="120" w:type="dxa"/>
              <w:bottom w:w="80" w:type="dxa"/>
              <w:end w:w="120" w:type="dxa"/>
            </w:tcMar>
            <w:vAlign w:val="center"/>
          </w:tcPr>
          <w:p>
            <w:pPr>
              <w:spacing w:after="0"/>
            </w:pPr>
            <w:r>
              <w:rPr>
                <w:rFonts w:ascii="Calibri" w:hAnsi="Calibri"/>
                <w:color w:val="111111"/>
                <w:sz w:val="20"/>
              </w:rPr>
              <w:t>Draft for review</w:t>
            </w:r>
          </w:p>
        </w:tc>
      </w:tr>
      <w:tr>
        <w:tc>
          <w:tcPr>
            <w:tcW w:type="dxa" w:w="1900"/>
            <w:shd w:fill="F2F4F7"/>
            <w:tcMar>
              <w:top w:w="80" w:type="dxa"/>
              <w:start w:w="120" w:type="dxa"/>
              <w:bottom w:w="80" w:type="dxa"/>
              <w:end w:w="120" w:type="dxa"/>
            </w:tcMar>
            <w:vAlign w:val="center"/>
          </w:tcPr>
          <w:p>
            <w:pPr>
              <w:spacing w:after="0"/>
            </w:pPr>
            <w:r>
              <w:rPr>
                <w:rFonts w:ascii="Calibri" w:hAnsi="Calibri"/>
                <w:b/>
                <w:color w:val="5B6573"/>
                <w:sz w:val="20"/>
              </w:rPr>
              <w:t>Date</w:t>
            </w:r>
          </w:p>
        </w:tc>
        <w:tc>
          <w:tcPr>
            <w:tcW w:type="dxa" w:w="7460"/>
            <w:tcMar>
              <w:top w:w="80" w:type="dxa"/>
              <w:start w:w="120" w:type="dxa"/>
              <w:bottom w:w="80" w:type="dxa"/>
              <w:end w:w="120" w:type="dxa"/>
            </w:tcMar>
            <w:vAlign w:val="center"/>
          </w:tcPr>
          <w:p>
            <w:pPr>
              <w:spacing w:after="0"/>
            </w:pPr>
            <w:r>
              <w:rPr>
                <w:rFonts w:ascii="Calibri" w:hAnsi="Calibri"/>
                <w:color w:val="111111"/>
                <w:sz w:val="20"/>
              </w:rPr>
              <w:t>26 August 2026</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64" w:lineRule="auto"/>
            </w:pPr>
            <w:r>
              <w:rPr>
                <w:rFonts w:ascii="Calibri" w:hAnsi="Calibri"/>
                <w:b/>
                <w:color w:val="1F4D78"/>
              </w:rPr>
              <w:t xml:space="preserve">Decision summary: </w:t>
            </w:r>
            <w:r>
              <w:rPr>
                <w:rFonts w:ascii="Calibri" w:hAnsi="Calibri"/>
                <w:color w:val="111111"/>
              </w:rPr>
              <w:t>Enhance the existing Lead Main Form with a transparent 100-point completeness score, a Validate Lead command, and server-side enforcement of the minimum contactability rule, while retaining the standard Dynamics 365 qualification process and downstream record creation.</w:t>
            </w:r>
          </w:p>
        </w:tc>
      </w:tr>
    </w:tbl>
    <w:p>
      <w:pPr>
        <w:spacing w:after="80"/>
      </w:pPr>
    </w:p>
    <w:p>
      <w:pPr>
        <w:pStyle w:val="Heading1"/>
        <w:keepNext/>
      </w:pPr>
      <w:r>
        <w:t>1. Executive Summary</w:t>
      </w:r>
    </w:p>
    <w:p>
      <w:pPr>
        <w:spacing w:before="0" w:after="120" w:line="264" w:lineRule="auto"/>
      </w:pPr>
      <w:r>
        <w:rPr>
          <w:rFonts w:ascii="Calibri" w:hAnsi="Calibri"/>
          <w:i w:val="0"/>
          <w:color w:val="111111"/>
        </w:rPr>
        <w:t>This BRD defines an enhancement to the existing Dynamics 365 CRM Lead qualification experience. Sales users need a clear way to assess whether a Lead contains enough information before selecting the standard Qualify command. The solution will use the out-of-the-box Lead table and Lead Main Form, add two custom columns, calculate a completeness score from four existing Lead fields, and expose an explicit Validate Lead command.</w:t>
      </w:r>
    </w:p>
    <w:p>
      <w:pPr>
        <w:spacing w:before="0" w:after="120" w:line="264" w:lineRule="auto"/>
      </w:pPr>
      <w:r>
        <w:rPr>
          <w:rFonts w:ascii="Calibri" w:hAnsi="Calibri"/>
          <w:i w:val="0"/>
          <w:color w:val="111111"/>
        </w:rPr>
        <w:t>The standard Qualify command and Dynamics 365 qualification process will remain in place. A synchronous server-side plug-in will enforce one mandatory rule across qualification channels: a Lead cannot be qualified when both Email and Business Phone are empty. When the rule passes, standard Account, Contact, and Opportunity creation must continue unchanged.</w:t>
      </w:r>
    </w:p>
    <w:p>
      <w:pPr>
        <w:pStyle w:val="Heading1"/>
        <w:keepNext/>
      </w:pPr>
      <w:r>
        <w:t>2. Business Context and Objectives</w:t>
      </w:r>
    </w:p>
    <w:p>
      <w:pPr>
        <w:pStyle w:val="Heading2"/>
        <w:keepNext/>
      </w:pPr>
      <w:r>
        <w:t>2.1 Business Problem / Opportunity</w:t>
      </w:r>
    </w:p>
    <w:p>
      <w:pPr>
        <w:spacing w:before="0" w:after="120" w:line="264" w:lineRule="auto"/>
      </w:pPr>
      <w:r>
        <w:rPr>
          <w:rFonts w:ascii="Calibri" w:hAnsi="Calibri"/>
          <w:i w:val="0"/>
          <w:color w:val="111111"/>
        </w:rPr>
        <w:t>The current process allows users to approach qualification without a consistent, visible assessment of Lead completeness. This can produce avoidable rework, inconsistent sales behavior, and Leads that are difficult to contact after qualification. The enhancement introduces a simple and explainable readiness indicator while preserving the familiar sales process.</w:t>
      </w:r>
    </w:p>
    <w:p>
      <w:pPr>
        <w:pStyle w:val="Heading2"/>
        <w:keepNext/>
      </w:pPr>
      <w:r>
        <w:t>2.2 Goals and Success Outcomes</w:t>
      </w:r>
    </w:p>
    <w:p>
      <w:pPr>
        <w:numPr>
          <w:ilvl w:val="0"/>
          <w:numId w:val="10"/>
        </w:numPr>
        <w:spacing w:after="160" w:line="280" w:lineRule="auto"/>
      </w:pPr>
      <w:r>
        <w:rPr>
          <w:rFonts w:ascii="Calibri" w:hAnsi="Calibri"/>
        </w:rPr>
        <w:t>Give sales users an immediate, consistent view of Lead information completeness.</w:t>
      </w:r>
    </w:p>
    <w:p>
      <w:pPr>
        <w:numPr>
          <w:ilvl w:val="0"/>
          <w:numId w:val="10"/>
        </w:numPr>
        <w:spacing w:after="160" w:line="280" w:lineRule="auto"/>
      </w:pPr>
      <w:r>
        <w:rPr>
          <w:rFonts w:ascii="Calibri" w:hAnsi="Calibri"/>
        </w:rPr>
        <w:t>Prompt users when information quality is poor without expanding the stated hard-stop rule.</w:t>
      </w:r>
    </w:p>
    <w:p>
      <w:pPr>
        <w:numPr>
          <w:ilvl w:val="0"/>
          <w:numId w:val="10"/>
        </w:numPr>
        <w:spacing w:after="160" w:line="280" w:lineRule="auto"/>
      </w:pPr>
      <w:r>
        <w:rPr>
          <w:rFonts w:ascii="Calibri" w:hAnsi="Calibri"/>
        </w:rPr>
        <w:t>Require at least one contact channel, Email or Business Phone, at the point of qualification.</w:t>
      </w:r>
    </w:p>
    <w:p>
      <w:pPr>
        <w:numPr>
          <w:ilvl w:val="0"/>
          <w:numId w:val="10"/>
        </w:numPr>
        <w:spacing w:after="160" w:line="280" w:lineRule="auto"/>
      </w:pPr>
      <w:r>
        <w:rPr>
          <w:rFonts w:ascii="Calibri" w:hAnsi="Calibri"/>
        </w:rPr>
        <w:t>Preserve the existing out-of-the-box Qualify command, qualification behavior, and downstream record creation.</w:t>
      </w:r>
    </w:p>
    <w:p>
      <w:pPr>
        <w:numPr>
          <w:ilvl w:val="0"/>
          <w:numId w:val="10"/>
        </w:numPr>
        <w:spacing w:after="160" w:line="280" w:lineRule="auto"/>
      </w:pPr>
      <w:r>
        <w:rPr>
          <w:rFonts w:ascii="Calibri" w:hAnsi="Calibri"/>
        </w:rPr>
        <w:t>Keep customization narrow by reusing the existing Lead table, form, and standard columns.</w:t>
      </w:r>
    </w:p>
    <w:p>
      <w:pPr>
        <w:pStyle w:val="Heading2"/>
        <w:keepNext/>
      </w:pPr>
      <w:r>
        <w:t>2.3 Success Measures</w:t>
      </w:r>
    </w:p>
    <w:p>
      <w:pPr>
        <w:spacing w:before="0" w:after="120" w:line="264" w:lineRule="auto"/>
      </w:pPr>
      <w:r>
        <w:rPr>
          <w:rFonts w:ascii="Calibri" w:hAnsi="Calibri"/>
          <w:i w:val="0"/>
          <w:color w:val="111111"/>
        </w:rPr>
        <w:t>The following measures are proposed for stakeholder acceptance; numeric operational targets are intentionally left for confirmation.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F2F4F7"/>
            <w:tcMar>
              <w:top w:w="80" w:type="dxa"/>
              <w:start w:w="120" w:type="dxa"/>
              <w:bottom w:w="80" w:type="dxa"/>
              <w:end w:w="120" w:type="dxa"/>
            </w:tcMar>
            <w:vAlign w:val="center"/>
          </w:tcPr>
          <w:p>
            <w:pPr>
              <w:spacing w:after="0" w:line="240" w:lineRule="auto"/>
            </w:pPr>
            <w:r>
              <w:rPr>
                <w:rFonts w:ascii="Calibri" w:hAnsi="Calibri"/>
                <w:b/>
                <w:color w:val="172B4D"/>
                <w:sz w:val="18"/>
              </w:rPr>
              <w:t>Measure</w:t>
            </w:r>
          </w:p>
        </w:tc>
        <w:tc>
          <w:tcPr>
            <w:tcW w:type="dxa" w:w="6760"/>
            <w:shd w:fill="F2F4F7"/>
            <w:tcMar>
              <w:top w:w="80" w:type="dxa"/>
              <w:start w:w="120" w:type="dxa"/>
              <w:bottom w:w="80" w:type="dxa"/>
              <w:end w:w="120" w:type="dxa"/>
            </w:tcMar>
            <w:vAlign w:val="center"/>
          </w:tcPr>
          <w:p>
            <w:pPr>
              <w:spacing w:after="0" w:line="240" w:lineRule="auto"/>
            </w:pPr>
            <w:r>
              <w:rPr>
                <w:rFonts w:ascii="Calibri" w:hAnsi="Calibri"/>
                <w:b/>
                <w:color w:val="172B4D"/>
                <w:sz w:val="18"/>
              </w:rPr>
              <w:t>Expected outcome</w:t>
            </w:r>
          </w:p>
        </w:tc>
      </w:tr>
      <w:tr>
        <w:trPr>
          <w:cantSplit/>
        </w:trPr>
        <w:tc>
          <w:tcPr>
            <w:tcW w:type="dxa" w:w="2600"/>
            <w:tcMar>
              <w:top w:w="80" w:type="dxa"/>
              <w:start w:w="120" w:type="dxa"/>
              <w:bottom w:w="80" w:type="dxa"/>
              <w:end w:w="120" w:type="dxa"/>
            </w:tcMar>
            <w:vAlign w:val="center"/>
          </w:tcPr>
          <w:p>
            <w:pPr>
              <w:spacing w:after="0" w:line="240" w:lineRule="auto"/>
            </w:pPr>
            <w:r>
              <w:rPr>
                <w:rFonts w:ascii="Calibri" w:hAnsi="Calibri"/>
                <w:color w:val="111111"/>
                <w:sz w:val="18"/>
              </w:rPr>
              <w:t>Scoring accuracy</w:t>
            </w:r>
          </w:p>
        </w:tc>
        <w:tc>
          <w:tcPr>
            <w:tcW w:type="dxa" w:w="6760"/>
            <w:tcMar>
              <w:top w:w="80" w:type="dxa"/>
              <w:start w:w="120" w:type="dxa"/>
              <w:bottom w:w="80" w:type="dxa"/>
              <w:end w:w="120" w:type="dxa"/>
            </w:tcMar>
            <w:vAlign w:val="center"/>
          </w:tcPr>
          <w:p>
            <w:pPr>
              <w:spacing w:after="0" w:line="240" w:lineRule="auto"/>
            </w:pPr>
            <w:r>
              <w:rPr>
                <w:rFonts w:ascii="Calibri" w:hAnsi="Calibri"/>
                <w:color w:val="111111"/>
                <w:sz w:val="18"/>
              </w:rPr>
              <w:t>The displayed and stored score equals the sum of the four defined 25-point rules.</w:t>
            </w:r>
          </w:p>
        </w:tc>
      </w:tr>
      <w:tr>
        <w:trPr>
          <w:cantSplit/>
        </w:trPr>
        <w:tc>
          <w:tcPr>
            <w:tcW w:type="dxa" w:w="2600"/>
            <w:tcMar>
              <w:top w:w="80" w:type="dxa"/>
              <w:start w:w="120" w:type="dxa"/>
              <w:bottom w:w="80" w:type="dxa"/>
              <w:end w:w="120" w:type="dxa"/>
            </w:tcMar>
            <w:vAlign w:val="center"/>
          </w:tcPr>
          <w:p>
            <w:pPr>
              <w:spacing w:after="0" w:line="240" w:lineRule="auto"/>
            </w:pPr>
            <w:r>
              <w:rPr>
                <w:rFonts w:ascii="Calibri" w:hAnsi="Calibri"/>
                <w:color w:val="111111"/>
                <w:sz w:val="18"/>
              </w:rPr>
              <w:t>Contactability enforcement</w:t>
            </w:r>
          </w:p>
        </w:tc>
        <w:tc>
          <w:tcPr>
            <w:tcW w:type="dxa" w:w="6760"/>
            <w:tcMar>
              <w:top w:w="80" w:type="dxa"/>
              <w:start w:w="120" w:type="dxa"/>
              <w:bottom w:w="80" w:type="dxa"/>
              <w:end w:w="120" w:type="dxa"/>
            </w:tcMar>
            <w:vAlign w:val="center"/>
          </w:tcPr>
          <w:p>
            <w:pPr>
              <w:spacing w:after="0" w:line="240" w:lineRule="auto"/>
            </w:pPr>
            <w:r>
              <w:rPr>
                <w:rFonts w:ascii="Calibri" w:hAnsi="Calibri"/>
                <w:color w:val="111111"/>
                <w:sz w:val="18"/>
              </w:rPr>
              <w:t>Qualification is rejected whenever both Email and Business Phone are empty, regardless of the initiating client or integration channel.</w:t>
            </w:r>
          </w:p>
        </w:tc>
      </w:tr>
      <w:tr>
        <w:trPr>
          <w:cantSplit/>
        </w:trPr>
        <w:tc>
          <w:tcPr>
            <w:tcW w:type="dxa" w:w="2600"/>
            <w:tcMar>
              <w:top w:w="80" w:type="dxa"/>
              <w:start w:w="120" w:type="dxa"/>
              <w:bottom w:w="80" w:type="dxa"/>
              <w:end w:w="120" w:type="dxa"/>
            </w:tcMar>
            <w:vAlign w:val="center"/>
          </w:tcPr>
          <w:p>
            <w:pPr>
              <w:spacing w:after="0" w:line="240" w:lineRule="auto"/>
            </w:pPr>
            <w:r>
              <w:rPr>
                <w:rFonts w:ascii="Calibri" w:hAnsi="Calibri"/>
                <w:color w:val="111111"/>
                <w:sz w:val="18"/>
              </w:rPr>
              <w:t>Process continuity</w:t>
            </w:r>
          </w:p>
        </w:tc>
        <w:tc>
          <w:tcPr>
            <w:tcW w:type="dxa" w:w="6760"/>
            <w:tcMar>
              <w:top w:w="80" w:type="dxa"/>
              <w:start w:w="120" w:type="dxa"/>
              <w:bottom w:w="80" w:type="dxa"/>
              <w:end w:w="120" w:type="dxa"/>
            </w:tcMar>
            <w:vAlign w:val="center"/>
          </w:tcPr>
          <w:p>
            <w:pPr>
              <w:spacing w:after="0" w:line="240" w:lineRule="auto"/>
            </w:pPr>
            <w:r>
              <w:rPr>
                <w:rFonts w:ascii="Calibri" w:hAnsi="Calibri"/>
                <w:color w:val="111111"/>
                <w:sz w:val="18"/>
              </w:rPr>
              <w:t>Eligible Leads continue through the standard qualification process without changes to standard Account, Contact, or Opportunity creation.</w:t>
            </w:r>
          </w:p>
        </w:tc>
      </w:tr>
      <w:tr>
        <w:trPr>
          <w:cantSplit/>
        </w:trPr>
        <w:tc>
          <w:tcPr>
            <w:tcW w:type="dxa" w:w="2600"/>
            <w:tcMar>
              <w:top w:w="80" w:type="dxa"/>
              <w:start w:w="120" w:type="dxa"/>
              <w:bottom w:w="80" w:type="dxa"/>
              <w:end w:w="120" w:type="dxa"/>
            </w:tcMar>
            <w:vAlign w:val="center"/>
          </w:tcPr>
          <w:p>
            <w:pPr>
              <w:spacing w:after="0" w:line="240" w:lineRule="auto"/>
            </w:pPr>
            <w:r>
              <w:rPr>
                <w:rFonts w:ascii="Calibri" w:hAnsi="Calibri"/>
                <w:color w:val="111111"/>
                <w:sz w:val="18"/>
              </w:rPr>
              <w:t>User clarity</w:t>
            </w:r>
          </w:p>
        </w:tc>
        <w:tc>
          <w:tcPr>
            <w:tcW w:type="dxa" w:w="6760"/>
            <w:tcMar>
              <w:top w:w="80" w:type="dxa"/>
              <w:start w:w="120" w:type="dxa"/>
              <w:bottom w:w="80" w:type="dxa"/>
              <w:end w:w="120" w:type="dxa"/>
            </w:tcMar>
            <w:vAlign w:val="center"/>
          </w:tcPr>
          <w:p>
            <w:pPr>
              <w:spacing w:after="0" w:line="240" w:lineRule="auto"/>
            </w:pPr>
            <w:r>
              <w:rPr>
                <w:rFonts w:ascii="Calibri" w:hAnsi="Calibri"/>
                <w:color w:val="111111"/>
                <w:sz w:val="18"/>
              </w:rPr>
              <w:t>Validate Lead returns the score, classification, missing information, and readiness outcome in a clear message.</w:t>
            </w:r>
          </w:p>
        </w:tc>
      </w:tr>
    </w:tbl>
    <w:p>
      <w:pPr>
        <w:spacing w:after="40"/>
      </w:pPr>
    </w:p>
    <w:p>
      <w:pPr>
        <w:pStyle w:val="Heading1"/>
        <w:keepNext/>
      </w:pPr>
      <w:r>
        <w:t>3. Scope</w:t>
      </w:r>
    </w:p>
    <w:p>
      <w:pPr>
        <w:pStyle w:val="Heading2"/>
        <w:keepNext/>
      </w:pPr>
      <w:r>
        <w:t>3.1 In Scope</w:t>
      </w:r>
    </w:p>
    <w:p>
      <w:pPr>
        <w:numPr>
          <w:ilvl w:val="0"/>
          <w:numId w:val="10"/>
        </w:numPr>
        <w:spacing w:after="160" w:line="280" w:lineRule="auto"/>
      </w:pPr>
      <w:r>
        <w:rPr>
          <w:rFonts w:ascii="Calibri" w:hAnsi="Calibri"/>
        </w:rPr>
        <w:t>Out-of-the-box Lead table and the existing Lead Main Form.</w:t>
      </w:r>
    </w:p>
    <w:p>
      <w:pPr>
        <w:numPr>
          <w:ilvl w:val="0"/>
          <w:numId w:val="10"/>
        </w:numPr>
        <w:spacing w:after="160" w:line="280" w:lineRule="auto"/>
      </w:pPr>
      <w:r>
        <w:rPr>
          <w:rFonts w:ascii="Calibri" w:hAnsi="Calibri"/>
        </w:rPr>
        <w:t>Existing Lead columns: Topic, First Name, Last Name, Company Name, Business Phone, Email, Lead Source, Owner, Status, and Status Reason.</w:t>
      </w:r>
    </w:p>
    <w:p>
      <w:pPr>
        <w:numPr>
          <w:ilvl w:val="0"/>
          <w:numId w:val="10"/>
        </w:numPr>
        <w:spacing w:after="160" w:line="280" w:lineRule="auto"/>
      </w:pPr>
      <w:r>
        <w:rPr>
          <w:rFonts w:ascii="Calibri" w:hAnsi="Calibri"/>
        </w:rPr>
        <w:t>Two custom columns only: Qualification Score (Whole Number) and Qualification Remarks (Multiple Lines of Text).</w:t>
      </w:r>
    </w:p>
    <w:p>
      <w:pPr>
        <w:numPr>
          <w:ilvl w:val="0"/>
          <w:numId w:val="10"/>
        </w:numPr>
        <w:spacing w:after="160" w:line="280" w:lineRule="auto"/>
      </w:pPr>
      <w:r>
        <w:rPr>
          <w:rFonts w:ascii="Calibri" w:hAnsi="Calibri"/>
        </w:rPr>
        <w:t>Client-side JavaScript for scoring, warnings, contact-channel validation, and Validate Lead behavior.</w:t>
      </w:r>
    </w:p>
    <w:p>
      <w:pPr>
        <w:numPr>
          <w:ilvl w:val="0"/>
          <w:numId w:val="10"/>
        </w:numPr>
        <w:spacing w:after="160" w:line="280" w:lineRule="auto"/>
      </w:pPr>
      <w:r>
        <w:rPr>
          <w:rFonts w:ascii="Calibri" w:hAnsi="Calibri"/>
        </w:rPr>
        <w:t>A custom main-form command bar button labeled Validate Lead.</w:t>
      </w:r>
    </w:p>
    <w:p>
      <w:pPr>
        <w:numPr>
          <w:ilvl w:val="0"/>
          <w:numId w:val="10"/>
        </w:numPr>
        <w:spacing w:after="160" w:line="280" w:lineRule="auto"/>
      </w:pPr>
      <w:r>
        <w:rPr>
          <w:rFonts w:ascii="Calibri" w:hAnsi="Calibri"/>
        </w:rPr>
        <w:t>A server-side Dataverse plug-in that blocks qualification when both Email and Business Phone are empty.</w:t>
      </w:r>
    </w:p>
    <w:p>
      <w:pPr>
        <w:numPr>
          <w:ilvl w:val="0"/>
          <w:numId w:val="10"/>
        </w:numPr>
        <w:spacing w:after="160" w:line="280" w:lineRule="auto"/>
      </w:pPr>
      <w:r>
        <w:rPr>
          <w:rFonts w:ascii="Calibri" w:hAnsi="Calibri"/>
        </w:rPr>
        <w:t>Solution packaging, deployment, and testing of the form, command, JavaScript web resource, columns, and plug-in assembly/step.</w:t>
      </w:r>
    </w:p>
    <w:p>
      <w:pPr>
        <w:pStyle w:val="Heading2"/>
        <w:keepNext/>
      </w:pPr>
      <w:r>
        <w:t>3.2 Out of Scope</w:t>
      </w:r>
    </w:p>
    <w:p>
      <w:pPr>
        <w:numPr>
          <w:ilvl w:val="0"/>
          <w:numId w:val="10"/>
        </w:numPr>
        <w:spacing w:after="160" w:line="280" w:lineRule="auto"/>
      </w:pPr>
      <w:r>
        <w:rPr>
          <w:rFonts w:ascii="Calibri" w:hAnsi="Calibri"/>
        </w:rPr>
        <w:t>Replacement, hiding, or redesign of the standard Qualify command.</w:t>
      </w:r>
    </w:p>
    <w:p>
      <w:pPr>
        <w:numPr>
          <w:ilvl w:val="0"/>
          <w:numId w:val="10"/>
        </w:numPr>
        <w:spacing w:after="160" w:line="280" w:lineRule="auto"/>
      </w:pPr>
      <w:r>
        <w:rPr>
          <w:rFonts w:ascii="Calibri" w:hAnsi="Calibri"/>
        </w:rPr>
        <w:t>Changes to standard Account, Contact, or Opportunity creation during qualification.</w:t>
      </w:r>
    </w:p>
    <w:p>
      <w:pPr>
        <w:numPr>
          <w:ilvl w:val="0"/>
          <w:numId w:val="10"/>
        </w:numPr>
        <w:spacing w:after="160" w:line="280" w:lineRule="auto"/>
      </w:pPr>
      <w:r>
        <w:rPr>
          <w:rFonts w:ascii="Calibri" w:hAnsi="Calibri"/>
        </w:rPr>
        <w:t>New scoring factors, weighted values, approval stages, business process flows, notifications, dashboards, or integrations.</w:t>
      </w:r>
    </w:p>
    <w:p>
      <w:pPr>
        <w:numPr>
          <w:ilvl w:val="0"/>
          <w:numId w:val="10"/>
        </w:numPr>
        <w:spacing w:after="160" w:line="280" w:lineRule="auto"/>
      </w:pPr>
      <w:r>
        <w:rPr>
          <w:rFonts w:ascii="Calibri" w:hAnsi="Calibri"/>
        </w:rPr>
        <w:t>Data migration or bulk remediation of historical Leads, unless separately approved.</w:t>
      </w:r>
    </w:p>
    <w:p>
      <w:pPr>
        <w:numPr>
          <w:ilvl w:val="0"/>
          <w:numId w:val="10"/>
        </w:numPr>
        <w:spacing w:after="160" w:line="280" w:lineRule="auto"/>
      </w:pPr>
      <w:r>
        <w:rPr>
          <w:rFonts w:ascii="Calibri" w:hAnsi="Calibri"/>
        </w:rPr>
        <w:t>Additional custom columns beyond Qualification Score and Qualification Remarks.</w:t>
      </w:r>
    </w:p>
    <w:p>
      <w:pPr>
        <w:pStyle w:val="Heading1"/>
        <w:keepNext/>
      </w:pPr>
      <w:r>
        <w:t>4. Stakeholders and User Roles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F2F4F7"/>
            <w:tcMar>
              <w:top w:w="80" w:type="dxa"/>
              <w:start w:w="120" w:type="dxa"/>
              <w:bottom w:w="80" w:type="dxa"/>
              <w:end w:w="120" w:type="dxa"/>
            </w:tcMar>
            <w:vAlign w:val="center"/>
          </w:tcPr>
          <w:p>
            <w:pPr>
              <w:spacing w:after="0" w:line="240" w:lineRule="auto"/>
            </w:pPr>
            <w:r>
              <w:rPr>
                <w:rFonts w:ascii="Calibri" w:hAnsi="Calibri"/>
                <w:b/>
                <w:color w:val="172B4D"/>
                <w:sz w:val="18"/>
              </w:rPr>
              <w:t>Stakeholder / role</w:t>
            </w:r>
          </w:p>
        </w:tc>
        <w:tc>
          <w:tcPr>
            <w:tcW w:type="dxa" w:w="6360"/>
            <w:shd w:fill="F2F4F7"/>
            <w:tcMar>
              <w:top w:w="80" w:type="dxa"/>
              <w:start w:w="120" w:type="dxa"/>
              <w:bottom w:w="80" w:type="dxa"/>
              <w:end w:w="120" w:type="dxa"/>
            </w:tcMar>
            <w:vAlign w:val="center"/>
          </w:tcPr>
          <w:p>
            <w:pPr>
              <w:spacing w:after="0" w:line="240" w:lineRule="auto"/>
            </w:pPr>
            <w:r>
              <w:rPr>
                <w:rFonts w:ascii="Calibri" w:hAnsi="Calibri"/>
                <w:b/>
                <w:color w:val="172B4D"/>
                <w:sz w:val="18"/>
              </w:rPr>
              <w:t>Interest or responsibility</w:t>
            </w:r>
          </w:p>
        </w:tc>
      </w:tr>
      <w:tr>
        <w:trPr>
          <w:cantSplit/>
        </w:trPr>
        <w:tc>
          <w:tcPr>
            <w:tcW w:type="dxa" w:w="3000"/>
            <w:tcMar>
              <w:top w:w="80" w:type="dxa"/>
              <w:start w:w="120" w:type="dxa"/>
              <w:bottom w:w="80" w:type="dxa"/>
              <w:end w:w="120" w:type="dxa"/>
            </w:tcMar>
            <w:vAlign w:val="center"/>
          </w:tcPr>
          <w:p>
            <w:pPr>
              <w:spacing w:after="0" w:line="240" w:lineRule="auto"/>
            </w:pPr>
            <w:r>
              <w:rPr>
                <w:rFonts w:ascii="Calibri" w:hAnsi="Calibri"/>
                <w:color w:val="111111"/>
                <w:sz w:val="18"/>
              </w:rPr>
              <w:t>Sales users</w:t>
            </w:r>
          </w:p>
        </w:tc>
        <w:tc>
          <w:tcPr>
            <w:tcW w:type="dxa" w:w="6360"/>
            <w:tcMar>
              <w:top w:w="80" w:type="dxa"/>
              <w:start w:w="120" w:type="dxa"/>
              <w:bottom w:w="80" w:type="dxa"/>
              <w:end w:w="120" w:type="dxa"/>
            </w:tcMar>
            <w:vAlign w:val="center"/>
          </w:tcPr>
          <w:p>
            <w:pPr>
              <w:spacing w:after="0" w:line="240" w:lineRule="auto"/>
            </w:pPr>
            <w:r>
              <w:rPr>
                <w:rFonts w:ascii="Calibri" w:hAnsi="Calibri"/>
                <w:color w:val="111111"/>
                <w:sz w:val="18"/>
              </w:rPr>
              <w:t>Enter Lead information, review the score, run Validate Lead, and use the standard Qualify command.</w:t>
            </w:r>
          </w:p>
        </w:tc>
      </w:tr>
      <w:tr>
        <w:trPr>
          <w:cantSplit/>
        </w:trPr>
        <w:tc>
          <w:tcPr>
            <w:tcW w:type="dxa" w:w="3000"/>
            <w:tcMar>
              <w:top w:w="80" w:type="dxa"/>
              <w:start w:w="120" w:type="dxa"/>
              <w:bottom w:w="80" w:type="dxa"/>
              <w:end w:w="120" w:type="dxa"/>
            </w:tcMar>
            <w:vAlign w:val="center"/>
          </w:tcPr>
          <w:p>
            <w:pPr>
              <w:spacing w:after="0" w:line="240" w:lineRule="auto"/>
            </w:pPr>
            <w:r>
              <w:rPr>
                <w:rFonts w:ascii="Calibri" w:hAnsi="Calibri"/>
                <w:color w:val="111111"/>
                <w:sz w:val="18"/>
              </w:rPr>
              <w:t>Sales management / process owner</w:t>
            </w:r>
          </w:p>
        </w:tc>
        <w:tc>
          <w:tcPr>
            <w:tcW w:type="dxa" w:w="6360"/>
            <w:tcMar>
              <w:top w:w="80" w:type="dxa"/>
              <w:start w:w="120" w:type="dxa"/>
              <w:bottom w:w="80" w:type="dxa"/>
              <w:end w:w="120" w:type="dxa"/>
            </w:tcMar>
            <w:vAlign w:val="center"/>
          </w:tcPr>
          <w:p>
            <w:pPr>
              <w:spacing w:after="0" w:line="240" w:lineRule="auto"/>
            </w:pPr>
            <w:r>
              <w:rPr>
                <w:rFonts w:ascii="Calibri" w:hAnsi="Calibri"/>
                <w:color w:val="111111"/>
                <w:sz w:val="18"/>
              </w:rPr>
              <w:t>Confirm readiness interpretation, warning behavior, and acceptance of the enhanced process.</w:t>
            </w:r>
          </w:p>
        </w:tc>
      </w:tr>
      <w:tr>
        <w:trPr>
          <w:cantSplit/>
        </w:trPr>
        <w:tc>
          <w:tcPr>
            <w:tcW w:type="dxa" w:w="3000"/>
            <w:tcMar>
              <w:top w:w="80" w:type="dxa"/>
              <w:start w:w="120" w:type="dxa"/>
              <w:bottom w:w="80" w:type="dxa"/>
              <w:end w:w="120" w:type="dxa"/>
            </w:tcMar>
            <w:vAlign w:val="center"/>
          </w:tcPr>
          <w:p>
            <w:pPr>
              <w:spacing w:after="0" w:line="240" w:lineRule="auto"/>
            </w:pPr>
            <w:r>
              <w:rPr>
                <w:rFonts w:ascii="Calibri" w:hAnsi="Calibri"/>
                <w:color w:val="111111"/>
                <w:sz w:val="18"/>
              </w:rPr>
              <w:t>Dynamics 365 administrator / maker</w:t>
            </w:r>
          </w:p>
        </w:tc>
        <w:tc>
          <w:tcPr>
            <w:tcW w:type="dxa" w:w="6360"/>
            <w:tcMar>
              <w:top w:w="80" w:type="dxa"/>
              <w:start w:w="120" w:type="dxa"/>
              <w:bottom w:w="80" w:type="dxa"/>
              <w:end w:w="120" w:type="dxa"/>
            </w:tcMar>
            <w:vAlign w:val="center"/>
          </w:tcPr>
          <w:p>
            <w:pPr>
              <w:spacing w:after="0" w:line="240" w:lineRule="auto"/>
            </w:pPr>
            <w:r>
              <w:rPr>
                <w:rFonts w:ascii="Calibri" w:hAnsi="Calibri"/>
                <w:color w:val="111111"/>
                <w:sz w:val="18"/>
              </w:rPr>
              <w:t>Configure columns, form placement, command bar, web resource, and solution components.</w:t>
            </w:r>
          </w:p>
        </w:tc>
      </w:tr>
      <w:tr>
        <w:trPr>
          <w:cantSplit/>
        </w:trPr>
        <w:tc>
          <w:tcPr>
            <w:tcW w:type="dxa" w:w="3000"/>
            <w:tcMar>
              <w:top w:w="80" w:type="dxa"/>
              <w:start w:w="120" w:type="dxa"/>
              <w:bottom w:w="80" w:type="dxa"/>
              <w:end w:w="120" w:type="dxa"/>
            </w:tcMar>
            <w:vAlign w:val="center"/>
          </w:tcPr>
          <w:p>
            <w:pPr>
              <w:spacing w:after="0" w:line="240" w:lineRule="auto"/>
            </w:pPr>
            <w:r>
              <w:rPr>
                <w:rFonts w:ascii="Calibri" w:hAnsi="Calibri"/>
                <w:color w:val="111111"/>
                <w:sz w:val="18"/>
              </w:rPr>
              <w:t>Power Platform developer</w:t>
            </w:r>
          </w:p>
        </w:tc>
        <w:tc>
          <w:tcPr>
            <w:tcW w:type="dxa" w:w="6360"/>
            <w:tcMar>
              <w:top w:w="80" w:type="dxa"/>
              <w:start w:w="120" w:type="dxa"/>
              <w:bottom w:w="80" w:type="dxa"/>
              <w:end w:w="120" w:type="dxa"/>
            </w:tcMar>
            <w:vAlign w:val="center"/>
          </w:tcPr>
          <w:p>
            <w:pPr>
              <w:spacing w:after="0" w:line="240" w:lineRule="auto"/>
            </w:pPr>
            <w:r>
              <w:rPr>
                <w:rFonts w:ascii="Calibri" w:hAnsi="Calibri"/>
                <w:color w:val="111111"/>
                <w:sz w:val="18"/>
              </w:rPr>
              <w:t>Develop and test the client script and server-side plug-in.</w:t>
            </w:r>
          </w:p>
        </w:tc>
      </w:tr>
      <w:tr>
        <w:trPr>
          <w:cantSplit/>
        </w:trPr>
        <w:tc>
          <w:tcPr>
            <w:tcW w:type="dxa" w:w="3000"/>
            <w:tcMar>
              <w:top w:w="80" w:type="dxa"/>
              <w:start w:w="120" w:type="dxa"/>
              <w:bottom w:w="80" w:type="dxa"/>
              <w:end w:w="120" w:type="dxa"/>
            </w:tcMar>
            <w:vAlign w:val="center"/>
          </w:tcPr>
          <w:p>
            <w:pPr>
              <w:spacing w:after="0" w:line="240" w:lineRule="auto"/>
            </w:pPr>
            <w:r>
              <w:rPr>
                <w:rFonts w:ascii="Calibri" w:hAnsi="Calibri"/>
                <w:color w:val="111111"/>
                <w:sz w:val="18"/>
              </w:rPr>
              <w:t>QA / UAT participants</w:t>
            </w:r>
          </w:p>
        </w:tc>
        <w:tc>
          <w:tcPr>
            <w:tcW w:type="dxa" w:w="6360"/>
            <w:tcMar>
              <w:top w:w="80" w:type="dxa"/>
              <w:start w:w="120" w:type="dxa"/>
              <w:bottom w:w="80" w:type="dxa"/>
              <w:end w:w="120" w:type="dxa"/>
            </w:tcMar>
            <w:vAlign w:val="center"/>
          </w:tcPr>
          <w:p>
            <w:pPr>
              <w:spacing w:after="0" w:line="240" w:lineRule="auto"/>
            </w:pPr>
            <w:r>
              <w:rPr>
                <w:rFonts w:ascii="Calibri" w:hAnsi="Calibri"/>
                <w:color w:val="111111"/>
                <w:sz w:val="18"/>
              </w:rPr>
              <w:t>Validate scoring, classification, blocking behavior, security, regression, and downstream record creation.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line="264" w:lineRule="auto"/>
            </w:pPr>
            <w:r>
              <w:rPr>
                <w:rFonts w:ascii="Calibri" w:hAnsi="Calibri"/>
                <w:b/>
                <w:color w:val="172B4D"/>
              </w:rPr>
              <w:t xml:space="preserve">Security position: </w:t>
            </w:r>
            <w:r>
              <w:rPr>
                <w:rFonts w:ascii="Calibri" w:hAnsi="Calibri"/>
                <w:color w:val="111111"/>
              </w:rPr>
              <w:t>No new security roles or privilege model changes are confirmed. Existing Lead access remains authoritative; deployment roles require the normal privileges to import and publish solution components.</w:t>
            </w:r>
          </w:p>
        </w:tc>
      </w:tr>
    </w:tbl>
    <w:p>
      <w:pPr>
        <w:spacing w:after="80"/>
      </w:pPr>
    </w:p>
    <w:p>
      <w:pPr>
        <w:pStyle w:val="Heading1"/>
        <w:keepNext/>
      </w:pPr>
      <w:r>
        <w:t>5. Current and Future State</w:t>
      </w:r>
    </w:p>
    <w:p>
      <w:pPr>
        <w:pStyle w:val="Heading2"/>
        <w:keepNext/>
      </w:pPr>
      <w:r>
        <w:t>5.1 Current-State Summary</w:t>
      </w:r>
    </w:p>
    <w:p>
      <w:pPr>
        <w:spacing w:before="0" w:after="120" w:line="264" w:lineRule="auto"/>
      </w:pPr>
      <w:r>
        <w:rPr>
          <w:rFonts w:ascii="Calibri" w:hAnsi="Calibri"/>
          <w:i w:val="0"/>
          <w:color w:val="111111"/>
        </w:rPr>
        <w:t>The current state is assumed to use the standard Lead table, existing Lead Main Form, standard Qualify command, and standard qualification flow. No consistent score, explicit pre-qualification validation command, or server-side minimum-contact rule has been identified in the supplied requirements.</w:t>
      </w:r>
    </w:p>
    <w:p>
      <w:pPr>
        <w:pStyle w:val="Heading2"/>
        <w:keepNext/>
      </w:pPr>
      <w:r>
        <w:t>5.2 Future-State Journey</w:t>
      </w:r>
    </w:p>
    <w:p>
      <w:pPr>
        <w:keepNext/>
        <w:spacing w:after="80"/>
        <w:jc w:val="center"/>
      </w:pPr>
      <w:r>
        <w:drawing>
          <wp:inline xmlns:a="http://schemas.openxmlformats.org/drawingml/2006/main" xmlns:pic="http://schemas.openxmlformats.org/drawingml/2006/picture">
            <wp:extent cx="5897880" cy="1336853"/>
            <wp:docPr id="1" name="Picture 1" title="Lead qualification validation flow" descr="Five-step flow: capture Lead details, calculate the completeness score, run Validate Lead, enforce the Email-or-Phone rule through the QualifyLead plug-in, and continue standard Dynamics 365 qualification."/>
            <wp:cNvGraphicFramePr>
              <a:graphicFrameLocks noChangeAspect="1"/>
            </wp:cNvGraphicFramePr>
            <a:graphic>
              <a:graphicData uri="http://schemas.openxmlformats.org/drawingml/2006/picture">
                <pic:pic>
                  <pic:nvPicPr>
                    <pic:cNvPr id="0" name="lead_qualification_flow.png"/>
                    <pic:cNvPicPr/>
                  </pic:nvPicPr>
                  <pic:blipFill>
                    <a:blip r:embed="rId11"/>
                    <a:stretch>
                      <a:fillRect/>
                    </a:stretch>
                  </pic:blipFill>
                  <pic:spPr>
                    <a:xfrm>
                      <a:off x="0" y="0"/>
                      <a:ext cx="5897880" cy="1336853"/>
                    </a:xfrm>
                    <a:prstGeom prst="rect"/>
                  </pic:spPr>
                </pic:pic>
              </a:graphicData>
            </a:graphic>
          </wp:inline>
        </w:drawing>
      </w:r>
    </w:p>
    <w:p>
      <w:pPr>
        <w:spacing w:after="160"/>
        <w:jc w:val="center"/>
      </w:pPr>
      <w:r>
        <w:rPr>
          <w:rFonts w:ascii="Calibri" w:hAnsi="Calibri"/>
          <w:i/>
          <w:color w:val="5B6573"/>
          <w:sz w:val="18"/>
        </w:rPr>
        <w:t>Figure 1. Lead completeness validation and qualification control flow</w:t>
      </w:r>
    </w:p>
    <w:p>
      <w:pPr>
        <w:numPr>
          <w:ilvl w:val="0"/>
          <w:numId w:val="11"/>
        </w:numPr>
        <w:spacing w:after="160" w:line="280" w:lineRule="auto"/>
      </w:pPr>
      <w:r>
        <w:rPr>
          <w:rFonts w:ascii="Calibri" w:hAnsi="Calibri"/>
        </w:rPr>
        <w:t>The sales user enters or updates Lead information on the existing Lead Main Form.</w:t>
      </w:r>
    </w:p>
    <w:p>
      <w:pPr>
        <w:numPr>
          <w:ilvl w:val="0"/>
          <w:numId w:val="11"/>
        </w:numPr>
        <w:spacing w:after="160" w:line="280" w:lineRule="auto"/>
      </w:pPr>
      <w:r>
        <w:rPr>
          <w:rFonts w:ascii="Calibri" w:hAnsi="Calibri"/>
        </w:rPr>
        <w:t>When Email, Business Phone, Company Name, or Lead Source changes, JavaScript recalculates Qualification Score and updates the on-form warning state.</w:t>
      </w:r>
    </w:p>
    <w:p>
      <w:pPr>
        <w:numPr>
          <w:ilvl w:val="0"/>
          <w:numId w:val="11"/>
        </w:numPr>
        <w:spacing w:after="160" w:line="280" w:lineRule="auto"/>
      </w:pPr>
      <w:r>
        <w:rPr>
          <w:rFonts w:ascii="Calibri" w:hAnsi="Calibri"/>
        </w:rPr>
        <w:t>Validate Lead checks the four scoring inputs, recalculates the score, verifies the contact-channel rule, and communicates the score, classification, missing inputs, and readiness result.</w:t>
      </w:r>
    </w:p>
    <w:p>
      <w:pPr>
        <w:numPr>
          <w:ilvl w:val="0"/>
          <w:numId w:val="11"/>
        </w:numPr>
        <w:spacing w:after="160" w:line="280" w:lineRule="auto"/>
      </w:pPr>
      <w:r>
        <w:rPr>
          <w:rFonts w:ascii="Calibri" w:hAnsi="Calibri"/>
        </w:rPr>
        <w:t>When the user selects the standard Qualify command, the server-side plug-in checks the current persisted Lead values. If both Email and Business Phone are empty, qualification stops with the specified message.</w:t>
      </w:r>
    </w:p>
    <w:p>
      <w:pPr>
        <w:numPr>
          <w:ilvl w:val="0"/>
          <w:numId w:val="11"/>
        </w:numPr>
        <w:spacing w:after="160" w:line="280" w:lineRule="auto"/>
      </w:pPr>
      <w:r>
        <w:rPr>
          <w:rFonts w:ascii="Calibri" w:hAnsi="Calibri"/>
        </w:rPr>
        <w:t>If the server rule passes, the standard qualification process continues, including standard downstream record creation behavior.</w:t>
      </w:r>
    </w:p>
    <w:p>
      <w:pPr>
        <w:pStyle w:val="Heading1"/>
        <w:keepNext/>
      </w:pPr>
      <w:r>
        <w:t>6. Functional Requirements</w:t>
      </w:r>
    </w:p>
    <w:tbl>
      <w:tblPr>
        <w:tblStyle w:val="TableGrid"/>
        <w:tblW w:type="dxa" w:w="9360"/>
        <w:jc w:val="left"/>
        <w:tblLayout w:type="fixed"/>
        <w:tblLook w:firstColumn="1" w:firstRow="1" w:lastColumn="0" w:lastRow="0" w:noHBand="0" w:noVBand="1" w:val="04A0"/>
        <w:tblInd w:w="120" w:type="dxa"/>
      </w:tblPr>
      <w:tblGrid>
        <w:gridCol w:w="900"/>
        <w:gridCol w:w="1800"/>
        <w:gridCol w:w="5900"/>
        <w:gridCol w:w="760"/>
      </w:tblGrid>
      <w:tr>
        <w:trPr>
          <w:tblHeader w:val="true"/>
        </w:trPr>
        <w:tc>
          <w:tcPr>
            <w:tcW w:type="dxa" w:w="900"/>
            <w:shd w:fill="F2F4F7"/>
            <w:tcMar>
              <w:top w:w="80" w:type="dxa"/>
              <w:start w:w="120" w:type="dxa"/>
              <w:bottom w:w="80" w:type="dxa"/>
              <w:end w:w="120" w:type="dxa"/>
            </w:tcMar>
            <w:vAlign w:val="center"/>
          </w:tcPr>
          <w:p>
            <w:pPr>
              <w:spacing w:after="0" w:line="240" w:lineRule="auto"/>
            </w:pPr>
            <w:r>
              <w:rPr>
                <w:rFonts w:ascii="Calibri" w:hAnsi="Calibri"/>
                <w:b/>
                <w:color w:val="172B4D"/>
                <w:sz w:val="16"/>
              </w:rPr>
              <w:t>ID</w:t>
            </w:r>
          </w:p>
        </w:tc>
        <w:tc>
          <w:tcPr>
            <w:tcW w:type="dxa" w:w="1800"/>
            <w:shd w:fill="F2F4F7"/>
            <w:tcMar>
              <w:top w:w="80" w:type="dxa"/>
              <w:start w:w="120" w:type="dxa"/>
              <w:bottom w:w="80" w:type="dxa"/>
              <w:end w:w="120" w:type="dxa"/>
            </w:tcMar>
            <w:vAlign w:val="center"/>
          </w:tcPr>
          <w:p>
            <w:pPr>
              <w:spacing w:after="0" w:line="240" w:lineRule="auto"/>
            </w:pPr>
            <w:r>
              <w:rPr>
                <w:rFonts w:ascii="Calibri" w:hAnsi="Calibri"/>
                <w:b/>
                <w:color w:val="172B4D"/>
                <w:sz w:val="16"/>
              </w:rPr>
              <w:t>Capability</w:t>
            </w:r>
          </w:p>
        </w:tc>
        <w:tc>
          <w:tcPr>
            <w:tcW w:type="dxa" w:w="5900"/>
            <w:shd w:fill="F2F4F7"/>
            <w:tcMar>
              <w:top w:w="80" w:type="dxa"/>
              <w:start w:w="120" w:type="dxa"/>
              <w:bottom w:w="80" w:type="dxa"/>
              <w:end w:w="120" w:type="dxa"/>
            </w:tcMar>
            <w:vAlign w:val="center"/>
          </w:tcPr>
          <w:p>
            <w:pPr>
              <w:spacing w:after="0" w:line="240" w:lineRule="auto"/>
            </w:pPr>
            <w:r>
              <w:rPr>
                <w:rFonts w:ascii="Calibri" w:hAnsi="Calibri"/>
                <w:b/>
                <w:color w:val="172B4D"/>
                <w:sz w:val="16"/>
              </w:rPr>
              <w:t>Requirement</w:t>
            </w:r>
          </w:p>
        </w:tc>
        <w:tc>
          <w:tcPr>
            <w:tcW w:type="dxa" w:w="760"/>
            <w:shd w:fill="F2F4F7"/>
            <w:tcMar>
              <w:top w:w="80" w:type="dxa"/>
              <w:start w:w="120" w:type="dxa"/>
              <w:bottom w:w="80" w:type="dxa"/>
              <w:end w:w="120" w:type="dxa"/>
            </w:tcMar>
            <w:vAlign w:val="center"/>
          </w:tcPr>
          <w:p>
            <w:pPr>
              <w:spacing w:after="0" w:line="240" w:lineRule="auto"/>
            </w:pPr>
            <w:r>
              <w:rPr>
                <w:rFonts w:ascii="Calibri" w:hAnsi="Calibri"/>
                <w:b/>
                <w:color w:val="172B4D"/>
                <w:sz w:val="16"/>
              </w:rPr>
              <w:t>Priority</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FR-01</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Reuse standard components</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The solution shall use the out-of-the-box Lead table and the existing Lead Main Form.</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FR-02</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Reuse standard columns</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The form and validation logic shall use Topic, First Name, Last Name, Company Name, Business Phone, Email, Lead Source, Owner, Status, and Status Reason as existing columns. No replacement versions shall be created.</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FR-03</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Qualification Score</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Create one custom Whole Number column named Qualification Score and place it on the existing Lead Main Form.</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FR-04</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Qualification Remarks</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Create one custom Multiple Lines of Text column named Qualification Remarks and place it on the existing Lead Main Form. No mandatory or automated remarks behavior is confirmed.</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FR-05</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Score calculation</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Calculate 25 points for each populated field: Email, Business Phone, Company Name, and Lead Source. The result shall be 0, 25, 50, 75, or 100 and shall be written to Qualification Score.</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FR-06</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Classification</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Classify the calculated result as Poor for 0-49, Warm for 50-74, and Qualified for 75-100. Classification shall be presented by the validation experience and shall not require a third custom column.</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FR-07</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Field-change behavior</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On change of Email, Business Phone, Company Name, or Lead Source, JavaScript shall recalculate Qualification Score and refresh the warning state.</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FR-08</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Low-score warning</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When the score is below 50, JavaScript shall display a visible warning. This warning is non-blocking except where the contact-channel rule also fails.</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FR-09</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Contact-channel validation</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Client-side validation shall determine whether at least Email or Business Phone is populated.</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FR-10</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Validate Lead command</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Add a main-form command bar button labeled Validate Lead and invoke the approved JavaScript function using the current form context.</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FR-11</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Validate Lead outcome</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On selection, Validate Lead shall validate Email, Business Phone, Company Name, and Lead Source; recalculate the score; and display score, classification, missing inputs, contact-channel validity, and readiness.</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FR-12</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Preserve Qualify</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The standard Qualify command and standard Dynamics 365 Lead qualification process shall remain available and unchanged except for the stated server-side precondition.</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FR-13</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Server-side enforcement</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A synchronous server-side plug-in shall prevent the QualifyLead operation when both Email and Business Phone are empty. Enforcement shall not rely solely on form JavaScript.</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FR-14</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Failure message</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When server validation fails, display exactly: “Lead cannot be qualified without Email or Business Phone.”</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FR-15</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Successful qualification</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When at least one of Email or Business Phone is populated, the plug-in shall permit the standard qualification process to continue.</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color w:val="111111"/>
                <w:sz w:val="16"/>
              </w:rPr>
              <w:t>FR-16</w:t>
            </w:r>
          </w:p>
        </w:tc>
        <w:tc>
          <w:tcPr>
            <w:tcW w:type="dxa" w:w="1800"/>
            <w:tcMar>
              <w:top w:w="80" w:type="dxa"/>
              <w:start w:w="120" w:type="dxa"/>
              <w:bottom w:w="80" w:type="dxa"/>
              <w:end w:w="120" w:type="dxa"/>
            </w:tcMar>
            <w:vAlign w:val="center"/>
          </w:tcPr>
          <w:p>
            <w:pPr>
              <w:spacing w:after="0" w:line="240" w:lineRule="auto"/>
            </w:pPr>
            <w:r>
              <w:rPr>
                <w:rFonts w:ascii="Calibri" w:hAnsi="Calibri"/>
                <w:color w:val="111111"/>
                <w:sz w:val="16"/>
              </w:rPr>
              <w:t>Downstream behavior</w:t>
            </w:r>
          </w:p>
        </w:tc>
        <w:tc>
          <w:tcPr>
            <w:tcW w:type="dxa" w:w="5900"/>
            <w:tcMar>
              <w:top w:w="80" w:type="dxa"/>
              <w:start w:w="120" w:type="dxa"/>
              <w:bottom w:w="80" w:type="dxa"/>
              <w:end w:w="120" w:type="dxa"/>
            </w:tcMar>
            <w:vAlign w:val="center"/>
          </w:tcPr>
          <w:p>
            <w:pPr>
              <w:spacing w:after="0" w:line="240" w:lineRule="auto"/>
            </w:pPr>
            <w:r>
              <w:rPr>
                <w:rFonts w:ascii="Calibri" w:hAnsi="Calibri"/>
                <w:color w:val="111111"/>
                <w:sz w:val="16"/>
              </w:rPr>
              <w:t>Standard Account, Contact, and Opportunity creation behavior during Lead qualification shall remain unchanged.</w:t>
            </w:r>
          </w:p>
        </w:tc>
        <w:tc>
          <w:tcPr>
            <w:tcW w:type="dxa" w:w="760"/>
            <w:tcMar>
              <w:top w:w="80" w:type="dxa"/>
              <w:start w:w="120" w:type="dxa"/>
              <w:bottom w:w="80" w:type="dxa"/>
              <w:end w:w="120" w:type="dxa"/>
            </w:tcMar>
            <w:vAlign w:val="center"/>
          </w:tcPr>
          <w:p>
            <w:pPr>
              <w:spacing w:after="0" w:line="240" w:lineRule="auto"/>
            </w:pPr>
            <w:r>
              <w:rPr>
                <w:rFonts w:ascii="Calibri" w:hAnsi="Calibri"/>
                <w:color w:val="111111"/>
                <w:sz w:val="16"/>
              </w:rPr>
              <w:t>Must</w:t>
            </w:r>
          </w:p>
        </w:tc>
      </w:tr>
    </w:tbl>
    <w:p>
      <w:pPr>
        <w:spacing w:after="40"/>
      </w:pPr>
    </w:p>
    <w:p>
      <w:pPr>
        <w:pStyle w:val="Heading1"/>
        <w:keepNext/>
      </w:pPr>
      <w:r>
        <w:t>7. Business Rules and Decision Logic</w:t>
      </w:r>
    </w:p>
    <w:p>
      <w:pPr>
        <w:pStyle w:val="Heading2"/>
        <w:keepNext/>
      </w:pPr>
      <w:r>
        <w:t>7.1 Scoring Rules</w:t>
      </w:r>
    </w:p>
    <w:tbl>
      <w:tblPr>
        <w:tblStyle w:val="TableGrid"/>
        <w:tblW w:type="dxa" w:w="9360"/>
        <w:jc w:val="left"/>
        <w:tblLayout w:type="fixed"/>
        <w:tblLook w:firstColumn="1" w:firstRow="1" w:lastColumn="0" w:lastRow="0" w:noHBand="0" w:noVBand="1" w:val="04A0"/>
        <w:tblInd w:w="120" w:type="dxa"/>
      </w:tblPr>
      <w:tblGrid>
        <w:gridCol w:w="2800"/>
        <w:gridCol w:w="4800"/>
        <w:gridCol w:w="1760"/>
      </w:tblGrid>
      <w:tr>
        <w:trPr>
          <w:tblHeader w:val="true"/>
        </w:trPr>
        <w:tc>
          <w:tcPr>
            <w:tcW w:type="dxa" w:w="2800"/>
            <w:shd w:fill="F2F4F7"/>
            <w:tcMar>
              <w:top w:w="80" w:type="dxa"/>
              <w:start w:w="120" w:type="dxa"/>
              <w:bottom w:w="80" w:type="dxa"/>
              <w:end w:w="120" w:type="dxa"/>
            </w:tcMar>
            <w:vAlign w:val="center"/>
          </w:tcPr>
          <w:p>
            <w:pPr>
              <w:spacing w:after="0" w:line="240" w:lineRule="auto"/>
            </w:pPr>
            <w:r>
              <w:rPr>
                <w:rFonts w:ascii="Calibri" w:hAnsi="Calibri"/>
                <w:b/>
                <w:color w:val="172B4D"/>
                <w:sz w:val="18"/>
              </w:rPr>
              <w:t>Input</w:t>
            </w:r>
          </w:p>
        </w:tc>
        <w:tc>
          <w:tcPr>
            <w:tcW w:type="dxa" w:w="4800"/>
            <w:shd w:fill="F2F4F7"/>
            <w:tcMar>
              <w:top w:w="80" w:type="dxa"/>
              <w:start w:w="120" w:type="dxa"/>
              <w:bottom w:w="80" w:type="dxa"/>
              <w:end w:w="120" w:type="dxa"/>
            </w:tcMar>
            <w:vAlign w:val="center"/>
          </w:tcPr>
          <w:p>
            <w:pPr>
              <w:spacing w:after="0" w:line="240" w:lineRule="auto"/>
            </w:pPr>
            <w:r>
              <w:rPr>
                <w:rFonts w:ascii="Calibri" w:hAnsi="Calibri"/>
                <w:b/>
                <w:color w:val="172B4D"/>
                <w:sz w:val="18"/>
              </w:rPr>
              <w:t>Condition</w:t>
            </w:r>
          </w:p>
        </w:tc>
        <w:tc>
          <w:tcPr>
            <w:tcW w:type="dxa" w:w="1760"/>
            <w:shd w:fill="F2F4F7"/>
            <w:tcMar>
              <w:top w:w="80" w:type="dxa"/>
              <w:start w:w="120" w:type="dxa"/>
              <w:bottom w:w="80" w:type="dxa"/>
              <w:end w:w="120" w:type="dxa"/>
            </w:tcMar>
            <w:vAlign w:val="center"/>
          </w:tcPr>
          <w:p>
            <w:pPr>
              <w:spacing w:after="0" w:line="240" w:lineRule="auto"/>
            </w:pPr>
            <w:r>
              <w:rPr>
                <w:rFonts w:ascii="Calibri" w:hAnsi="Calibri"/>
                <w:b/>
                <w:color w:val="172B4D"/>
                <w:sz w:val="18"/>
              </w:rPr>
              <w:t>Points</w:t>
            </w:r>
          </w:p>
        </w:tc>
      </w:tr>
      <w:tr>
        <w:trPr>
          <w:cantSplit/>
        </w:trPr>
        <w:tc>
          <w:tcPr>
            <w:tcW w:type="dxa" w:w="2800"/>
            <w:tcMar>
              <w:top w:w="80" w:type="dxa"/>
              <w:start w:w="120" w:type="dxa"/>
              <w:bottom w:w="80" w:type="dxa"/>
              <w:end w:w="120" w:type="dxa"/>
            </w:tcMar>
            <w:vAlign w:val="center"/>
          </w:tcPr>
          <w:p>
            <w:pPr>
              <w:spacing w:after="0" w:line="240" w:lineRule="auto"/>
            </w:pPr>
            <w:r>
              <w:rPr>
                <w:rFonts w:ascii="Calibri" w:hAnsi="Calibri"/>
                <w:color w:val="111111"/>
                <w:sz w:val="18"/>
              </w:rPr>
              <w:t>Email</w:t>
            </w:r>
          </w:p>
        </w:tc>
        <w:tc>
          <w:tcPr>
            <w:tcW w:type="dxa" w:w="4800"/>
            <w:tcMar>
              <w:top w:w="80" w:type="dxa"/>
              <w:start w:w="120" w:type="dxa"/>
              <w:bottom w:w="80" w:type="dxa"/>
              <w:end w:w="120" w:type="dxa"/>
            </w:tcMar>
            <w:vAlign w:val="center"/>
          </w:tcPr>
          <w:p>
            <w:pPr>
              <w:spacing w:after="0" w:line="240" w:lineRule="auto"/>
            </w:pPr>
            <w:r>
              <w:rPr>
                <w:rFonts w:ascii="Calibri" w:hAnsi="Calibri"/>
                <w:color w:val="111111"/>
                <w:sz w:val="18"/>
              </w:rPr>
              <w:t>Value is populated</w:t>
            </w:r>
          </w:p>
        </w:tc>
        <w:tc>
          <w:tcPr>
            <w:tcW w:type="dxa" w:w="1760"/>
            <w:tcMar>
              <w:top w:w="80" w:type="dxa"/>
              <w:start w:w="120" w:type="dxa"/>
              <w:bottom w:w="80" w:type="dxa"/>
              <w:end w:w="120" w:type="dxa"/>
            </w:tcMar>
            <w:vAlign w:val="center"/>
          </w:tcPr>
          <w:p>
            <w:pPr>
              <w:spacing w:after="0" w:line="240" w:lineRule="auto"/>
            </w:pPr>
            <w:r>
              <w:rPr>
                <w:rFonts w:ascii="Calibri" w:hAnsi="Calibri"/>
                <w:color w:val="111111"/>
                <w:sz w:val="18"/>
              </w:rPr>
              <w:t>25</w:t>
            </w:r>
          </w:p>
        </w:tc>
      </w:tr>
      <w:tr>
        <w:trPr>
          <w:cantSplit/>
        </w:trPr>
        <w:tc>
          <w:tcPr>
            <w:tcW w:type="dxa" w:w="2800"/>
            <w:tcMar>
              <w:top w:w="80" w:type="dxa"/>
              <w:start w:w="120" w:type="dxa"/>
              <w:bottom w:w="80" w:type="dxa"/>
              <w:end w:w="120" w:type="dxa"/>
            </w:tcMar>
            <w:vAlign w:val="center"/>
          </w:tcPr>
          <w:p>
            <w:pPr>
              <w:spacing w:after="0" w:line="240" w:lineRule="auto"/>
            </w:pPr>
            <w:r>
              <w:rPr>
                <w:rFonts w:ascii="Calibri" w:hAnsi="Calibri"/>
                <w:color w:val="111111"/>
                <w:sz w:val="18"/>
              </w:rPr>
              <w:t>Business Phone</w:t>
            </w:r>
          </w:p>
        </w:tc>
        <w:tc>
          <w:tcPr>
            <w:tcW w:type="dxa" w:w="4800"/>
            <w:tcMar>
              <w:top w:w="80" w:type="dxa"/>
              <w:start w:w="120" w:type="dxa"/>
              <w:bottom w:w="80" w:type="dxa"/>
              <w:end w:w="120" w:type="dxa"/>
            </w:tcMar>
            <w:vAlign w:val="center"/>
          </w:tcPr>
          <w:p>
            <w:pPr>
              <w:spacing w:after="0" w:line="240" w:lineRule="auto"/>
            </w:pPr>
            <w:r>
              <w:rPr>
                <w:rFonts w:ascii="Calibri" w:hAnsi="Calibri"/>
                <w:color w:val="111111"/>
                <w:sz w:val="18"/>
              </w:rPr>
              <w:t>Value is populated</w:t>
            </w:r>
          </w:p>
        </w:tc>
        <w:tc>
          <w:tcPr>
            <w:tcW w:type="dxa" w:w="1760"/>
            <w:tcMar>
              <w:top w:w="80" w:type="dxa"/>
              <w:start w:w="120" w:type="dxa"/>
              <w:bottom w:w="80" w:type="dxa"/>
              <w:end w:w="120" w:type="dxa"/>
            </w:tcMar>
            <w:vAlign w:val="center"/>
          </w:tcPr>
          <w:p>
            <w:pPr>
              <w:spacing w:after="0" w:line="240" w:lineRule="auto"/>
            </w:pPr>
            <w:r>
              <w:rPr>
                <w:rFonts w:ascii="Calibri" w:hAnsi="Calibri"/>
                <w:color w:val="111111"/>
                <w:sz w:val="18"/>
              </w:rPr>
              <w:t>25</w:t>
            </w:r>
          </w:p>
        </w:tc>
      </w:tr>
      <w:tr>
        <w:trPr>
          <w:cantSplit/>
        </w:trPr>
        <w:tc>
          <w:tcPr>
            <w:tcW w:type="dxa" w:w="2800"/>
            <w:tcMar>
              <w:top w:w="80" w:type="dxa"/>
              <w:start w:w="120" w:type="dxa"/>
              <w:bottom w:w="80" w:type="dxa"/>
              <w:end w:w="120" w:type="dxa"/>
            </w:tcMar>
            <w:vAlign w:val="center"/>
          </w:tcPr>
          <w:p>
            <w:pPr>
              <w:spacing w:after="0" w:line="240" w:lineRule="auto"/>
            </w:pPr>
            <w:r>
              <w:rPr>
                <w:rFonts w:ascii="Calibri" w:hAnsi="Calibri"/>
                <w:color w:val="111111"/>
                <w:sz w:val="18"/>
              </w:rPr>
              <w:t>Company Name</w:t>
            </w:r>
          </w:p>
        </w:tc>
        <w:tc>
          <w:tcPr>
            <w:tcW w:type="dxa" w:w="4800"/>
            <w:tcMar>
              <w:top w:w="80" w:type="dxa"/>
              <w:start w:w="120" w:type="dxa"/>
              <w:bottom w:w="80" w:type="dxa"/>
              <w:end w:w="120" w:type="dxa"/>
            </w:tcMar>
            <w:vAlign w:val="center"/>
          </w:tcPr>
          <w:p>
            <w:pPr>
              <w:spacing w:after="0" w:line="240" w:lineRule="auto"/>
            </w:pPr>
            <w:r>
              <w:rPr>
                <w:rFonts w:ascii="Calibri" w:hAnsi="Calibri"/>
                <w:color w:val="111111"/>
                <w:sz w:val="18"/>
              </w:rPr>
              <w:t>Value is populated</w:t>
            </w:r>
          </w:p>
        </w:tc>
        <w:tc>
          <w:tcPr>
            <w:tcW w:type="dxa" w:w="1760"/>
            <w:tcMar>
              <w:top w:w="80" w:type="dxa"/>
              <w:start w:w="120" w:type="dxa"/>
              <w:bottom w:w="80" w:type="dxa"/>
              <w:end w:w="120" w:type="dxa"/>
            </w:tcMar>
            <w:vAlign w:val="center"/>
          </w:tcPr>
          <w:p>
            <w:pPr>
              <w:spacing w:after="0" w:line="240" w:lineRule="auto"/>
            </w:pPr>
            <w:r>
              <w:rPr>
                <w:rFonts w:ascii="Calibri" w:hAnsi="Calibri"/>
                <w:color w:val="111111"/>
                <w:sz w:val="18"/>
              </w:rPr>
              <w:t>25</w:t>
            </w:r>
          </w:p>
        </w:tc>
      </w:tr>
      <w:tr>
        <w:trPr>
          <w:cantSplit/>
        </w:trPr>
        <w:tc>
          <w:tcPr>
            <w:tcW w:type="dxa" w:w="2800"/>
            <w:tcMar>
              <w:top w:w="80" w:type="dxa"/>
              <w:start w:w="120" w:type="dxa"/>
              <w:bottom w:w="80" w:type="dxa"/>
              <w:end w:w="120" w:type="dxa"/>
            </w:tcMar>
            <w:vAlign w:val="center"/>
          </w:tcPr>
          <w:p>
            <w:pPr>
              <w:spacing w:after="0" w:line="240" w:lineRule="auto"/>
            </w:pPr>
            <w:r>
              <w:rPr>
                <w:rFonts w:ascii="Calibri" w:hAnsi="Calibri"/>
                <w:color w:val="111111"/>
                <w:sz w:val="18"/>
              </w:rPr>
              <w:t>Lead Source</w:t>
            </w:r>
          </w:p>
        </w:tc>
        <w:tc>
          <w:tcPr>
            <w:tcW w:type="dxa" w:w="4800"/>
            <w:tcMar>
              <w:top w:w="80" w:type="dxa"/>
              <w:start w:w="120" w:type="dxa"/>
              <w:bottom w:w="80" w:type="dxa"/>
              <w:end w:w="120" w:type="dxa"/>
            </w:tcMar>
            <w:vAlign w:val="center"/>
          </w:tcPr>
          <w:p>
            <w:pPr>
              <w:spacing w:after="0" w:line="240" w:lineRule="auto"/>
            </w:pPr>
            <w:r>
              <w:rPr>
                <w:rFonts w:ascii="Calibri" w:hAnsi="Calibri"/>
                <w:color w:val="111111"/>
                <w:sz w:val="18"/>
              </w:rPr>
              <w:t>A value is selected</w:t>
            </w:r>
          </w:p>
        </w:tc>
        <w:tc>
          <w:tcPr>
            <w:tcW w:type="dxa" w:w="1760"/>
            <w:tcMar>
              <w:top w:w="80" w:type="dxa"/>
              <w:start w:w="120" w:type="dxa"/>
              <w:bottom w:w="80" w:type="dxa"/>
              <w:end w:w="120" w:type="dxa"/>
            </w:tcMar>
            <w:vAlign w:val="center"/>
          </w:tcPr>
          <w:p>
            <w:pPr>
              <w:spacing w:after="0" w:line="240" w:lineRule="auto"/>
            </w:pPr>
            <w:r>
              <w:rPr>
                <w:rFonts w:ascii="Calibri" w:hAnsi="Calibri"/>
                <w:color w:val="111111"/>
                <w:sz w:val="18"/>
              </w:rPr>
              <w:t>25</w:t>
            </w:r>
          </w:p>
        </w:tc>
      </w:tr>
      <w:tr>
        <w:trPr>
          <w:cantSplit/>
        </w:trPr>
        <w:tc>
          <w:tcPr>
            <w:tcW w:type="dxa" w:w="2800"/>
            <w:tcMar>
              <w:top w:w="80" w:type="dxa"/>
              <w:start w:w="120" w:type="dxa"/>
              <w:bottom w:w="80" w:type="dxa"/>
              <w:end w:w="120" w:type="dxa"/>
            </w:tcMar>
            <w:vAlign w:val="center"/>
          </w:tcPr>
          <w:p>
            <w:pPr>
              <w:spacing w:after="0" w:line="240" w:lineRule="auto"/>
            </w:pPr>
            <w:r>
              <w:rPr>
                <w:rFonts w:ascii="Calibri" w:hAnsi="Calibri"/>
                <w:color w:val="111111"/>
                <w:sz w:val="18"/>
              </w:rPr>
              <w:t>Total</w:t>
            </w:r>
          </w:p>
        </w:tc>
        <w:tc>
          <w:tcPr>
            <w:tcW w:type="dxa" w:w="4800"/>
            <w:tcMar>
              <w:top w:w="80" w:type="dxa"/>
              <w:start w:w="120" w:type="dxa"/>
              <w:bottom w:w="80" w:type="dxa"/>
              <w:end w:w="120" w:type="dxa"/>
            </w:tcMar>
            <w:vAlign w:val="center"/>
          </w:tcPr>
          <w:p>
            <w:pPr>
              <w:spacing w:after="0" w:line="240" w:lineRule="auto"/>
            </w:pPr>
            <w:r>
              <w:rPr>
                <w:rFonts w:ascii="Calibri" w:hAnsi="Calibri"/>
                <w:color w:val="111111"/>
                <w:sz w:val="18"/>
              </w:rPr>
              <w:t>Sum of satisfied conditions</w:t>
            </w:r>
          </w:p>
        </w:tc>
        <w:tc>
          <w:tcPr>
            <w:tcW w:type="dxa" w:w="1760"/>
            <w:tcMar>
              <w:top w:w="80" w:type="dxa"/>
              <w:start w:w="120" w:type="dxa"/>
              <w:bottom w:w="80" w:type="dxa"/>
              <w:end w:w="120" w:type="dxa"/>
            </w:tcMar>
            <w:vAlign w:val="center"/>
          </w:tcPr>
          <w:p>
            <w:pPr>
              <w:spacing w:after="0" w:line="240" w:lineRule="auto"/>
            </w:pPr>
            <w:r>
              <w:rPr>
                <w:rFonts w:ascii="Calibri" w:hAnsi="Calibri"/>
                <w:color w:val="111111"/>
                <w:sz w:val="18"/>
              </w:rPr>
              <w:t>0-100</w:t>
            </w:r>
          </w:p>
        </w:tc>
      </w:tr>
    </w:tbl>
    <w:p>
      <w:pPr>
        <w:spacing w:after="40"/>
      </w:pPr>
    </w:p>
    <w:p>
      <w:pPr>
        <w:pStyle w:val="Heading2"/>
        <w:keepNext/>
      </w:pPr>
      <w:r>
        <w:t>7.2 Classification and Readiness</w:t>
      </w:r>
    </w:p>
    <w:tbl>
      <w:tblPr>
        <w:tblStyle w:val="TableGrid"/>
        <w:tblW w:type="dxa" w:w="9360"/>
        <w:jc w:val="left"/>
        <w:tblLayout w:type="fixed"/>
        <w:tblLook w:firstColumn="1" w:firstRow="1" w:lastColumn="0" w:lastRow="0" w:noHBand="0" w:noVBand="1" w:val="04A0"/>
        <w:tblInd w:w="120" w:type="dxa"/>
      </w:tblPr>
      <w:tblGrid>
        <w:gridCol w:w="1500"/>
        <w:gridCol w:w="1900"/>
        <w:gridCol w:w="2500"/>
        <w:gridCol w:w="3460"/>
      </w:tblGrid>
      <w:tr>
        <w:trPr>
          <w:tblHeader w:val="true"/>
        </w:trPr>
        <w:tc>
          <w:tcPr>
            <w:tcW w:type="dxa" w:w="1500"/>
            <w:shd w:fill="F2F4F7"/>
            <w:tcMar>
              <w:top w:w="80" w:type="dxa"/>
              <w:start w:w="120" w:type="dxa"/>
              <w:bottom w:w="80" w:type="dxa"/>
              <w:end w:w="120" w:type="dxa"/>
            </w:tcMar>
            <w:vAlign w:val="center"/>
          </w:tcPr>
          <w:p>
            <w:pPr>
              <w:spacing w:after="0" w:line="240" w:lineRule="auto"/>
            </w:pPr>
            <w:r>
              <w:rPr>
                <w:rFonts w:ascii="Calibri" w:hAnsi="Calibri"/>
                <w:b/>
                <w:color w:val="172B4D"/>
                <w:sz w:val="18"/>
              </w:rPr>
              <w:t>Score</w:t>
            </w:r>
          </w:p>
        </w:tc>
        <w:tc>
          <w:tcPr>
            <w:tcW w:type="dxa" w:w="1900"/>
            <w:shd w:fill="F2F4F7"/>
            <w:tcMar>
              <w:top w:w="80" w:type="dxa"/>
              <w:start w:w="120" w:type="dxa"/>
              <w:bottom w:w="80" w:type="dxa"/>
              <w:end w:w="120" w:type="dxa"/>
            </w:tcMar>
            <w:vAlign w:val="center"/>
          </w:tcPr>
          <w:p>
            <w:pPr>
              <w:spacing w:after="0" w:line="240" w:lineRule="auto"/>
            </w:pPr>
            <w:r>
              <w:rPr>
                <w:rFonts w:ascii="Calibri" w:hAnsi="Calibri"/>
                <w:b/>
                <w:color w:val="172B4D"/>
                <w:sz w:val="18"/>
              </w:rPr>
              <w:t>Classification</w:t>
            </w:r>
          </w:p>
        </w:tc>
        <w:tc>
          <w:tcPr>
            <w:tcW w:type="dxa" w:w="2500"/>
            <w:shd w:fill="F2F4F7"/>
            <w:tcMar>
              <w:top w:w="80" w:type="dxa"/>
              <w:start w:w="120" w:type="dxa"/>
              <w:bottom w:w="80" w:type="dxa"/>
              <w:end w:w="120" w:type="dxa"/>
            </w:tcMar>
            <w:vAlign w:val="center"/>
          </w:tcPr>
          <w:p>
            <w:pPr>
              <w:spacing w:after="0" w:line="240" w:lineRule="auto"/>
            </w:pPr>
            <w:r>
              <w:rPr>
                <w:rFonts w:ascii="Calibri" w:hAnsi="Calibri"/>
                <w:b/>
                <w:color w:val="172B4D"/>
                <w:sz w:val="18"/>
              </w:rPr>
              <w:t>Warning</w:t>
            </w:r>
          </w:p>
        </w:tc>
        <w:tc>
          <w:tcPr>
            <w:tcW w:type="dxa" w:w="3460"/>
            <w:shd w:fill="F2F4F7"/>
            <w:tcMar>
              <w:top w:w="80" w:type="dxa"/>
              <w:start w:w="120" w:type="dxa"/>
              <w:bottom w:w="80" w:type="dxa"/>
              <w:end w:w="120" w:type="dxa"/>
            </w:tcMar>
            <w:vAlign w:val="center"/>
          </w:tcPr>
          <w:p>
            <w:pPr>
              <w:spacing w:after="0" w:line="240" w:lineRule="auto"/>
            </w:pPr>
            <w:r>
              <w:rPr>
                <w:rFonts w:ascii="Calibri" w:hAnsi="Calibri"/>
                <w:b/>
                <w:color w:val="172B4D"/>
                <w:sz w:val="18"/>
              </w:rPr>
              <w:t>Assumed readiness result</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color w:val="111111"/>
                <w:sz w:val="18"/>
              </w:rPr>
              <w:t>0-49</w:t>
            </w:r>
          </w:p>
        </w:tc>
        <w:tc>
          <w:tcPr>
            <w:tcW w:type="dxa" w:w="1900"/>
            <w:tcMar>
              <w:top w:w="80" w:type="dxa"/>
              <w:start w:w="120" w:type="dxa"/>
              <w:bottom w:w="80" w:type="dxa"/>
              <w:end w:w="120" w:type="dxa"/>
            </w:tcMar>
            <w:vAlign w:val="center"/>
          </w:tcPr>
          <w:p>
            <w:pPr>
              <w:spacing w:after="0" w:line="240" w:lineRule="auto"/>
            </w:pPr>
            <w:r>
              <w:rPr>
                <w:rFonts w:ascii="Calibri" w:hAnsi="Calibri"/>
                <w:b/>
                <w:color w:val="9B1C1C"/>
                <w:sz w:val="18"/>
              </w:rPr>
              <w:t>Poor</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8"/>
              </w:rPr>
              <w:t>Show warning</w:t>
            </w:r>
          </w:p>
        </w:tc>
        <w:tc>
          <w:tcPr>
            <w:tcW w:type="dxa" w:w="3460"/>
            <w:tcMar>
              <w:top w:w="80" w:type="dxa"/>
              <w:start w:w="120" w:type="dxa"/>
              <w:bottom w:w="80" w:type="dxa"/>
              <w:end w:w="120" w:type="dxa"/>
            </w:tcMar>
            <w:vAlign w:val="center"/>
          </w:tcPr>
          <w:p>
            <w:pPr>
              <w:spacing w:after="0" w:line="240" w:lineRule="auto"/>
            </w:pPr>
            <w:r>
              <w:rPr>
                <w:rFonts w:ascii="Calibri" w:hAnsi="Calibri"/>
                <w:color w:val="111111"/>
                <w:sz w:val="18"/>
              </w:rPr>
              <w:t>Not ready</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color w:val="111111"/>
                <w:sz w:val="18"/>
              </w:rPr>
              <w:t>50-74</w:t>
            </w:r>
          </w:p>
        </w:tc>
        <w:tc>
          <w:tcPr>
            <w:tcW w:type="dxa" w:w="1900"/>
            <w:tcMar>
              <w:top w:w="80" w:type="dxa"/>
              <w:start w:w="120" w:type="dxa"/>
              <w:bottom w:w="80" w:type="dxa"/>
              <w:end w:w="120" w:type="dxa"/>
            </w:tcMar>
            <w:vAlign w:val="center"/>
          </w:tcPr>
          <w:p>
            <w:pPr>
              <w:spacing w:after="0" w:line="240" w:lineRule="auto"/>
            </w:pPr>
            <w:r>
              <w:rPr>
                <w:rFonts w:ascii="Calibri" w:hAnsi="Calibri"/>
                <w:b/>
                <w:color w:val="7A5A00"/>
                <w:sz w:val="18"/>
              </w:rPr>
              <w:t>Warm</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8"/>
              </w:rPr>
              <w:t>No low-score warning</w:t>
            </w:r>
          </w:p>
        </w:tc>
        <w:tc>
          <w:tcPr>
            <w:tcW w:type="dxa" w:w="3460"/>
            <w:tcMar>
              <w:top w:w="80" w:type="dxa"/>
              <w:start w:w="120" w:type="dxa"/>
              <w:bottom w:w="80" w:type="dxa"/>
              <w:end w:w="120" w:type="dxa"/>
            </w:tcMar>
            <w:vAlign w:val="center"/>
          </w:tcPr>
          <w:p>
            <w:pPr>
              <w:spacing w:after="0" w:line="240" w:lineRule="auto"/>
            </w:pPr>
            <w:r>
              <w:rPr>
                <w:rFonts w:ascii="Calibri" w:hAnsi="Calibri"/>
                <w:color w:val="111111"/>
                <w:sz w:val="18"/>
              </w:rPr>
              <w:t>Not ready; improvement recommended</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color w:val="111111"/>
                <w:sz w:val="18"/>
              </w:rPr>
              <w:t>75-100</w:t>
            </w:r>
          </w:p>
        </w:tc>
        <w:tc>
          <w:tcPr>
            <w:tcW w:type="dxa" w:w="1900"/>
            <w:tcMar>
              <w:top w:w="80" w:type="dxa"/>
              <w:start w:w="120" w:type="dxa"/>
              <w:bottom w:w="80" w:type="dxa"/>
              <w:end w:w="120" w:type="dxa"/>
            </w:tcMar>
            <w:vAlign w:val="center"/>
          </w:tcPr>
          <w:p>
            <w:pPr>
              <w:spacing w:after="0" w:line="240" w:lineRule="auto"/>
            </w:pPr>
            <w:r>
              <w:rPr>
                <w:rFonts w:ascii="Calibri" w:hAnsi="Calibri"/>
                <w:b/>
                <w:color w:val="2E6B4F"/>
                <w:sz w:val="18"/>
              </w:rPr>
              <w:t>Qualified</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8"/>
              </w:rPr>
              <w:t>No low-score warning</w:t>
            </w:r>
          </w:p>
        </w:tc>
        <w:tc>
          <w:tcPr>
            <w:tcW w:type="dxa" w:w="3460"/>
            <w:tcMar>
              <w:top w:w="80" w:type="dxa"/>
              <w:start w:w="120" w:type="dxa"/>
              <w:bottom w:w="80" w:type="dxa"/>
              <w:end w:w="120" w:type="dxa"/>
            </w:tcMar>
            <w:vAlign w:val="center"/>
          </w:tcPr>
          <w:p>
            <w:pPr>
              <w:spacing w:after="0" w:line="240" w:lineRule="auto"/>
            </w:pPr>
            <w:r>
              <w:rPr>
                <w:rFonts w:ascii="Calibri" w:hAnsi="Calibri"/>
                <w:color w:val="111111"/>
                <w:sz w:val="18"/>
              </w:rPr>
              <w:t>Ready, provided Email or Business Phone exists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line="264" w:lineRule="auto"/>
            </w:pPr>
            <w:r>
              <w:rPr>
                <w:rFonts w:ascii="Calibri" w:hAnsi="Calibri"/>
                <w:b/>
                <w:color w:val="7A5A00"/>
              </w:rPr>
              <w:t xml:space="preserve">Assumption requiring confirmation: </w:t>
            </w:r>
            <w:r>
              <w:rPr>
                <w:rFonts w:ascii="Calibri" w:hAnsi="Calibri"/>
                <w:color w:val="111111"/>
              </w:rPr>
              <w:t>Because the source requirement defines a Qualified band but does not explicitly define the readiness threshold, this BRD assumes Ready = score 75-100 plus at least one contact channel. The server-side hard stop remains limited to both Email and Business Phone being empty.</w:t>
            </w:r>
          </w:p>
        </w:tc>
      </w:tr>
    </w:tbl>
    <w:p>
      <w:pPr>
        <w:spacing w:after="80"/>
      </w:pPr>
    </w:p>
    <w:p>
      <w:pPr>
        <w:pStyle w:val="Heading2"/>
        <w:keepNext/>
      </w:pPr>
      <w:r>
        <w:t>7.3 Qualification Enforcement Matrix</w:t>
      </w:r>
    </w:p>
    <w:tbl>
      <w:tblPr>
        <w:tblStyle w:val="TableGrid"/>
        <w:tblW w:type="dxa" w:w="9360"/>
        <w:jc w:val="left"/>
        <w:tblLayout w:type="fixed"/>
        <w:tblLook w:firstColumn="1" w:firstRow="1" w:lastColumn="0" w:lastRow="0" w:noHBand="0" w:noVBand="1" w:val="04A0"/>
        <w:tblInd w:w="120" w:type="dxa"/>
      </w:tblPr>
      <w:tblGrid>
        <w:gridCol w:w="1800"/>
        <w:gridCol w:w="2200"/>
        <w:gridCol w:w="1800"/>
        <w:gridCol w:w="3560"/>
      </w:tblGrid>
      <w:tr>
        <w:trPr>
          <w:tblHeader w:val="true"/>
        </w:trPr>
        <w:tc>
          <w:tcPr>
            <w:tcW w:type="dxa" w:w="1800"/>
            <w:shd w:fill="F2F4F7"/>
            <w:tcMar>
              <w:top w:w="80" w:type="dxa"/>
              <w:start w:w="120" w:type="dxa"/>
              <w:bottom w:w="80" w:type="dxa"/>
              <w:end w:w="120" w:type="dxa"/>
            </w:tcMar>
            <w:vAlign w:val="center"/>
          </w:tcPr>
          <w:p>
            <w:pPr>
              <w:spacing w:after="0" w:line="240" w:lineRule="auto"/>
            </w:pPr>
            <w:r>
              <w:rPr>
                <w:rFonts w:ascii="Calibri" w:hAnsi="Calibri"/>
                <w:b/>
                <w:color w:val="172B4D"/>
                <w:sz w:val="18"/>
              </w:rPr>
              <w:t>Email</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b/>
                <w:color w:val="172B4D"/>
                <w:sz w:val="18"/>
              </w:rPr>
              <w:t>Business Phone</w:t>
            </w:r>
          </w:p>
        </w:tc>
        <w:tc>
          <w:tcPr>
            <w:tcW w:type="dxa" w:w="1800"/>
            <w:shd w:fill="F2F4F7"/>
            <w:tcMar>
              <w:top w:w="80" w:type="dxa"/>
              <w:start w:w="120" w:type="dxa"/>
              <w:bottom w:w="80" w:type="dxa"/>
              <w:end w:w="120" w:type="dxa"/>
            </w:tcMar>
            <w:vAlign w:val="center"/>
          </w:tcPr>
          <w:p>
            <w:pPr>
              <w:spacing w:after="0" w:line="240" w:lineRule="auto"/>
            </w:pPr>
            <w:r>
              <w:rPr>
                <w:rFonts w:ascii="Calibri" w:hAnsi="Calibri"/>
                <w:b/>
                <w:color w:val="172B4D"/>
                <w:sz w:val="18"/>
              </w:rPr>
              <w:t>Server outcome</w:t>
            </w:r>
          </w:p>
        </w:tc>
        <w:tc>
          <w:tcPr>
            <w:tcW w:type="dxa" w:w="3560"/>
            <w:shd w:fill="F2F4F7"/>
            <w:tcMar>
              <w:top w:w="80" w:type="dxa"/>
              <w:start w:w="120" w:type="dxa"/>
              <w:bottom w:w="80" w:type="dxa"/>
              <w:end w:w="120" w:type="dxa"/>
            </w:tcMar>
            <w:vAlign w:val="center"/>
          </w:tcPr>
          <w:p>
            <w:pPr>
              <w:spacing w:after="0" w:line="240" w:lineRule="auto"/>
            </w:pPr>
            <w:r>
              <w:rPr>
                <w:rFonts w:ascii="Calibri" w:hAnsi="Calibri"/>
                <w:b/>
                <w:color w:val="172B4D"/>
                <w:sz w:val="18"/>
              </w:rPr>
              <w:t>User message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color w:val="111111"/>
                <w:sz w:val="18"/>
              </w:rPr>
              <w:t>Empty</w:t>
            </w:r>
          </w:p>
        </w:tc>
        <w:tc>
          <w:tcPr>
            <w:tcW w:type="dxa" w:w="2200"/>
            <w:tcMar>
              <w:top w:w="80" w:type="dxa"/>
              <w:start w:w="120" w:type="dxa"/>
              <w:bottom w:w="80" w:type="dxa"/>
              <w:end w:w="120" w:type="dxa"/>
            </w:tcMar>
            <w:vAlign w:val="center"/>
          </w:tcPr>
          <w:p>
            <w:pPr>
              <w:spacing w:after="0" w:line="240" w:lineRule="auto"/>
            </w:pPr>
            <w:r>
              <w:rPr>
                <w:rFonts w:ascii="Calibri" w:hAnsi="Calibri"/>
                <w:color w:val="111111"/>
                <w:sz w:val="18"/>
              </w:rPr>
              <w:t>Empty</w:t>
            </w:r>
          </w:p>
        </w:tc>
        <w:tc>
          <w:tcPr>
            <w:tcW w:type="dxa" w:w="1800"/>
            <w:tcMar>
              <w:top w:w="80" w:type="dxa"/>
              <w:start w:w="120" w:type="dxa"/>
              <w:bottom w:w="80" w:type="dxa"/>
              <w:end w:w="120" w:type="dxa"/>
            </w:tcMar>
            <w:vAlign w:val="center"/>
          </w:tcPr>
          <w:p>
            <w:pPr>
              <w:spacing w:after="0" w:line="240" w:lineRule="auto"/>
            </w:pPr>
            <w:r>
              <w:rPr>
                <w:rFonts w:ascii="Calibri" w:hAnsi="Calibri"/>
                <w:b/>
                <w:color w:val="9B1C1C"/>
                <w:sz w:val="18"/>
              </w:rPr>
              <w:t>Block</w:t>
            </w:r>
          </w:p>
        </w:tc>
        <w:tc>
          <w:tcPr>
            <w:tcW w:type="dxa" w:w="3560"/>
            <w:tcMar>
              <w:top w:w="80" w:type="dxa"/>
              <w:start w:w="120" w:type="dxa"/>
              <w:bottom w:w="80" w:type="dxa"/>
              <w:end w:w="120" w:type="dxa"/>
            </w:tcMar>
            <w:vAlign w:val="center"/>
          </w:tcPr>
          <w:p>
            <w:pPr>
              <w:spacing w:after="0" w:line="240" w:lineRule="auto"/>
            </w:pPr>
            <w:r>
              <w:rPr>
                <w:rFonts w:ascii="Calibri" w:hAnsi="Calibri"/>
                <w:color w:val="111111"/>
                <w:sz w:val="18"/>
              </w:rPr>
              <w:t>Lead cannot be qualified without Email or Business Phone.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color w:val="111111"/>
                <w:sz w:val="18"/>
              </w:rPr>
              <w:t>Populated</w:t>
            </w:r>
          </w:p>
        </w:tc>
        <w:tc>
          <w:tcPr>
            <w:tcW w:type="dxa" w:w="2200"/>
            <w:tcMar>
              <w:top w:w="80" w:type="dxa"/>
              <w:start w:w="120" w:type="dxa"/>
              <w:bottom w:w="80" w:type="dxa"/>
              <w:end w:w="120" w:type="dxa"/>
            </w:tcMar>
            <w:vAlign w:val="center"/>
          </w:tcPr>
          <w:p>
            <w:pPr>
              <w:spacing w:after="0" w:line="240" w:lineRule="auto"/>
            </w:pPr>
            <w:r>
              <w:rPr>
                <w:rFonts w:ascii="Calibri" w:hAnsi="Calibri"/>
                <w:color w:val="111111"/>
                <w:sz w:val="18"/>
              </w:rPr>
              <w:t>Empty</w:t>
            </w:r>
          </w:p>
        </w:tc>
        <w:tc>
          <w:tcPr>
            <w:tcW w:type="dxa" w:w="1800"/>
            <w:tcMar>
              <w:top w:w="80" w:type="dxa"/>
              <w:start w:w="120" w:type="dxa"/>
              <w:bottom w:w="80" w:type="dxa"/>
              <w:end w:w="120" w:type="dxa"/>
            </w:tcMar>
            <w:vAlign w:val="center"/>
          </w:tcPr>
          <w:p>
            <w:pPr>
              <w:spacing w:after="0" w:line="240" w:lineRule="auto"/>
            </w:pPr>
            <w:r>
              <w:rPr>
                <w:rFonts w:ascii="Calibri" w:hAnsi="Calibri"/>
                <w:b/>
                <w:color w:val="2E6B4F"/>
                <w:sz w:val="18"/>
              </w:rPr>
              <w:t>Allow</w:t>
            </w:r>
          </w:p>
        </w:tc>
        <w:tc>
          <w:tcPr>
            <w:tcW w:type="dxa" w:w="3560"/>
            <w:tcMar>
              <w:top w:w="80" w:type="dxa"/>
              <w:start w:w="120" w:type="dxa"/>
              <w:bottom w:w="80" w:type="dxa"/>
              <w:end w:w="120" w:type="dxa"/>
            </w:tcMar>
            <w:vAlign w:val="center"/>
          </w:tcPr>
          <w:p>
            <w:pPr>
              <w:spacing w:after="0" w:line="240" w:lineRule="auto"/>
            </w:pPr>
            <w:r>
              <w:rPr>
                <w:rFonts w:ascii="Calibri" w:hAnsi="Calibri"/>
                <w:color w:val="111111"/>
                <w:sz w:val="18"/>
              </w:rPr>
              <w:t>Standard qualification continues.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color w:val="111111"/>
                <w:sz w:val="18"/>
              </w:rPr>
              <w:t>Empty</w:t>
            </w:r>
          </w:p>
        </w:tc>
        <w:tc>
          <w:tcPr>
            <w:tcW w:type="dxa" w:w="2200"/>
            <w:tcMar>
              <w:top w:w="80" w:type="dxa"/>
              <w:start w:w="120" w:type="dxa"/>
              <w:bottom w:w="80" w:type="dxa"/>
              <w:end w:w="120" w:type="dxa"/>
            </w:tcMar>
            <w:vAlign w:val="center"/>
          </w:tcPr>
          <w:p>
            <w:pPr>
              <w:spacing w:after="0" w:line="240" w:lineRule="auto"/>
            </w:pPr>
            <w:r>
              <w:rPr>
                <w:rFonts w:ascii="Calibri" w:hAnsi="Calibri"/>
                <w:color w:val="111111"/>
                <w:sz w:val="18"/>
              </w:rPr>
              <w:t>Populated</w:t>
            </w:r>
          </w:p>
        </w:tc>
        <w:tc>
          <w:tcPr>
            <w:tcW w:type="dxa" w:w="1800"/>
            <w:tcMar>
              <w:top w:w="80" w:type="dxa"/>
              <w:start w:w="120" w:type="dxa"/>
              <w:bottom w:w="80" w:type="dxa"/>
              <w:end w:w="120" w:type="dxa"/>
            </w:tcMar>
            <w:vAlign w:val="center"/>
          </w:tcPr>
          <w:p>
            <w:pPr>
              <w:spacing w:after="0" w:line="240" w:lineRule="auto"/>
            </w:pPr>
            <w:r>
              <w:rPr>
                <w:rFonts w:ascii="Calibri" w:hAnsi="Calibri"/>
                <w:b/>
                <w:color w:val="2E6B4F"/>
                <w:sz w:val="18"/>
              </w:rPr>
              <w:t>Allow</w:t>
            </w:r>
          </w:p>
        </w:tc>
        <w:tc>
          <w:tcPr>
            <w:tcW w:type="dxa" w:w="3560"/>
            <w:tcMar>
              <w:top w:w="80" w:type="dxa"/>
              <w:start w:w="120" w:type="dxa"/>
              <w:bottom w:w="80" w:type="dxa"/>
              <w:end w:w="120" w:type="dxa"/>
            </w:tcMar>
            <w:vAlign w:val="center"/>
          </w:tcPr>
          <w:p>
            <w:pPr>
              <w:spacing w:after="0" w:line="240" w:lineRule="auto"/>
            </w:pPr>
            <w:r>
              <w:rPr>
                <w:rFonts w:ascii="Calibri" w:hAnsi="Calibri"/>
                <w:color w:val="111111"/>
                <w:sz w:val="18"/>
              </w:rPr>
              <w:t>Standard qualification continues.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color w:val="111111"/>
                <w:sz w:val="18"/>
              </w:rPr>
              <w:t>Populated</w:t>
            </w:r>
          </w:p>
        </w:tc>
        <w:tc>
          <w:tcPr>
            <w:tcW w:type="dxa" w:w="2200"/>
            <w:tcMar>
              <w:top w:w="80" w:type="dxa"/>
              <w:start w:w="120" w:type="dxa"/>
              <w:bottom w:w="80" w:type="dxa"/>
              <w:end w:w="120" w:type="dxa"/>
            </w:tcMar>
            <w:vAlign w:val="center"/>
          </w:tcPr>
          <w:p>
            <w:pPr>
              <w:spacing w:after="0" w:line="240" w:lineRule="auto"/>
            </w:pPr>
            <w:r>
              <w:rPr>
                <w:rFonts w:ascii="Calibri" w:hAnsi="Calibri"/>
                <w:color w:val="111111"/>
                <w:sz w:val="18"/>
              </w:rPr>
              <w:t>Populated</w:t>
            </w:r>
          </w:p>
        </w:tc>
        <w:tc>
          <w:tcPr>
            <w:tcW w:type="dxa" w:w="1800"/>
            <w:tcMar>
              <w:top w:w="80" w:type="dxa"/>
              <w:start w:w="120" w:type="dxa"/>
              <w:bottom w:w="80" w:type="dxa"/>
              <w:end w:w="120" w:type="dxa"/>
            </w:tcMar>
            <w:vAlign w:val="center"/>
          </w:tcPr>
          <w:p>
            <w:pPr>
              <w:spacing w:after="0" w:line="240" w:lineRule="auto"/>
            </w:pPr>
            <w:r>
              <w:rPr>
                <w:rFonts w:ascii="Calibri" w:hAnsi="Calibri"/>
                <w:b/>
                <w:color w:val="2E6B4F"/>
                <w:sz w:val="18"/>
              </w:rPr>
              <w:t>Allow</w:t>
            </w:r>
          </w:p>
        </w:tc>
        <w:tc>
          <w:tcPr>
            <w:tcW w:type="dxa" w:w="3560"/>
            <w:tcMar>
              <w:top w:w="80" w:type="dxa"/>
              <w:start w:w="120" w:type="dxa"/>
              <w:bottom w:w="80" w:type="dxa"/>
              <w:end w:w="120" w:type="dxa"/>
            </w:tcMar>
            <w:vAlign w:val="center"/>
          </w:tcPr>
          <w:p>
            <w:pPr>
              <w:spacing w:after="0" w:line="240" w:lineRule="auto"/>
            </w:pPr>
            <w:r>
              <w:rPr>
                <w:rFonts w:ascii="Calibri" w:hAnsi="Calibri"/>
                <w:color w:val="111111"/>
                <w:sz w:val="18"/>
              </w:rPr>
              <w:t>Standard qualification continues.</w:t>
            </w:r>
          </w:p>
        </w:tc>
      </w:tr>
    </w:tbl>
    <w:p>
      <w:pPr>
        <w:spacing w:after="40"/>
      </w:pPr>
    </w:p>
    <w:p>
      <w:pPr>
        <w:pStyle w:val="Heading1"/>
        <w:keepNext/>
      </w:pPr>
      <w:r>
        <w:t>8. Data and Form Requirements</w:t>
      </w:r>
    </w:p>
    <w:p>
      <w:pPr>
        <w:pStyle w:val="Heading2"/>
        <w:keepNext/>
      </w:pPr>
      <w:r>
        <w:t>8.1 Existing Columns</w:t>
      </w:r>
    </w:p>
    <w:tbl>
      <w:tblPr>
        <w:tblStyle w:val="TableGrid"/>
        <w:tblW w:type="dxa" w:w="9360"/>
        <w:jc w:val="left"/>
        <w:tblLayout w:type="fixed"/>
        <w:tblLook w:firstColumn="1" w:firstRow="1" w:lastColumn="0" w:lastRow="0" w:noHBand="0" w:noVBand="1" w:val="04A0"/>
        <w:tblInd w:w="120" w:type="dxa"/>
      </w:tblPr>
      <w:tblGrid>
        <w:gridCol w:w="2200"/>
        <w:gridCol w:w="2500"/>
        <w:gridCol w:w="4660"/>
      </w:tblGrid>
      <w:tr>
        <w:trPr>
          <w:tblHeader w:val="true"/>
        </w:trPr>
        <w:tc>
          <w:tcPr>
            <w:tcW w:type="dxa" w:w="2200"/>
            <w:shd w:fill="F2F4F7"/>
            <w:tcMar>
              <w:top w:w="80" w:type="dxa"/>
              <w:start w:w="120" w:type="dxa"/>
              <w:bottom w:w="80" w:type="dxa"/>
              <w:end w:w="120" w:type="dxa"/>
            </w:tcMar>
            <w:vAlign w:val="center"/>
          </w:tcPr>
          <w:p>
            <w:pPr>
              <w:spacing w:after="0" w:line="240" w:lineRule="auto"/>
            </w:pPr>
            <w:r>
              <w:rPr>
                <w:rFonts w:ascii="Calibri" w:hAnsi="Calibri"/>
                <w:b/>
                <w:color w:val="172B4D"/>
                <w:sz w:val="17"/>
              </w:rPr>
              <w:t>Display name</w:t>
            </w:r>
          </w:p>
        </w:tc>
        <w:tc>
          <w:tcPr>
            <w:tcW w:type="dxa" w:w="2500"/>
            <w:shd w:fill="F2F4F7"/>
            <w:tcMar>
              <w:top w:w="80" w:type="dxa"/>
              <w:start w:w="120" w:type="dxa"/>
              <w:bottom w:w="80" w:type="dxa"/>
              <w:end w:w="120" w:type="dxa"/>
            </w:tcMar>
            <w:vAlign w:val="center"/>
          </w:tcPr>
          <w:p>
            <w:pPr>
              <w:spacing w:after="0" w:line="240" w:lineRule="auto"/>
            </w:pPr>
            <w:r>
              <w:rPr>
                <w:rFonts w:ascii="Calibri" w:hAnsi="Calibri"/>
                <w:b/>
                <w:color w:val="172B4D"/>
                <w:sz w:val="17"/>
              </w:rPr>
              <w:t>Standard logical name</w:t>
            </w:r>
          </w:p>
        </w:tc>
        <w:tc>
          <w:tcPr>
            <w:tcW w:type="dxa" w:w="4660"/>
            <w:shd w:fill="F2F4F7"/>
            <w:tcMar>
              <w:top w:w="80" w:type="dxa"/>
              <w:start w:w="120" w:type="dxa"/>
              <w:bottom w:w="80" w:type="dxa"/>
              <w:end w:w="120" w:type="dxa"/>
            </w:tcMar>
            <w:vAlign w:val="center"/>
          </w:tcPr>
          <w:p>
            <w:pPr>
              <w:spacing w:after="0" w:line="240" w:lineRule="auto"/>
            </w:pPr>
            <w:r>
              <w:rPr>
                <w:rFonts w:ascii="Calibri" w:hAnsi="Calibri"/>
                <w:b/>
                <w:color w:val="172B4D"/>
                <w:sz w:val="17"/>
              </w:rPr>
              <w:t>Use in enhancement</w:t>
            </w:r>
          </w:p>
        </w:tc>
      </w:tr>
      <w:tr>
        <w:trPr>
          <w:cantSplit/>
        </w:trPr>
        <w:tc>
          <w:tcPr>
            <w:tcW w:type="dxa" w:w="2200"/>
            <w:tcMar>
              <w:top w:w="80" w:type="dxa"/>
              <w:start w:w="120" w:type="dxa"/>
              <w:bottom w:w="80" w:type="dxa"/>
              <w:end w:w="120" w:type="dxa"/>
            </w:tcMar>
            <w:vAlign w:val="center"/>
          </w:tcPr>
          <w:p>
            <w:pPr>
              <w:spacing w:after="0" w:line="240" w:lineRule="auto"/>
            </w:pPr>
            <w:r>
              <w:rPr>
                <w:rFonts w:ascii="Calibri" w:hAnsi="Calibri"/>
                <w:color w:val="111111"/>
                <w:sz w:val="17"/>
              </w:rPr>
              <w:t>Topic</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7"/>
              </w:rPr>
              <w:t>subject</w:t>
            </w:r>
          </w:p>
        </w:tc>
        <w:tc>
          <w:tcPr>
            <w:tcW w:type="dxa" w:w="4660"/>
            <w:tcMar>
              <w:top w:w="80" w:type="dxa"/>
              <w:start w:w="120" w:type="dxa"/>
              <w:bottom w:w="80" w:type="dxa"/>
              <w:end w:w="120" w:type="dxa"/>
            </w:tcMar>
            <w:vAlign w:val="center"/>
          </w:tcPr>
          <w:p>
            <w:pPr>
              <w:spacing w:after="0" w:line="240" w:lineRule="auto"/>
            </w:pPr>
            <w:r>
              <w:rPr>
                <w:rFonts w:ascii="Calibri" w:hAnsi="Calibri"/>
                <w:color w:val="111111"/>
                <w:sz w:val="17"/>
              </w:rPr>
              <w:t>Retained on the form; no score contribution.</w:t>
            </w:r>
          </w:p>
        </w:tc>
      </w:tr>
      <w:tr>
        <w:trPr>
          <w:cantSplit/>
        </w:trPr>
        <w:tc>
          <w:tcPr>
            <w:tcW w:type="dxa" w:w="2200"/>
            <w:tcMar>
              <w:top w:w="80" w:type="dxa"/>
              <w:start w:w="120" w:type="dxa"/>
              <w:bottom w:w="80" w:type="dxa"/>
              <w:end w:w="120" w:type="dxa"/>
            </w:tcMar>
            <w:vAlign w:val="center"/>
          </w:tcPr>
          <w:p>
            <w:pPr>
              <w:spacing w:after="0" w:line="240" w:lineRule="auto"/>
            </w:pPr>
            <w:r>
              <w:rPr>
                <w:rFonts w:ascii="Calibri" w:hAnsi="Calibri"/>
                <w:color w:val="111111"/>
                <w:sz w:val="17"/>
              </w:rPr>
              <w:t>First Name</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7"/>
              </w:rPr>
              <w:t>firstname</w:t>
            </w:r>
          </w:p>
        </w:tc>
        <w:tc>
          <w:tcPr>
            <w:tcW w:type="dxa" w:w="4660"/>
            <w:tcMar>
              <w:top w:w="80" w:type="dxa"/>
              <w:start w:w="120" w:type="dxa"/>
              <w:bottom w:w="80" w:type="dxa"/>
              <w:end w:w="120" w:type="dxa"/>
            </w:tcMar>
            <w:vAlign w:val="center"/>
          </w:tcPr>
          <w:p>
            <w:pPr>
              <w:spacing w:after="0" w:line="240" w:lineRule="auto"/>
            </w:pPr>
            <w:r>
              <w:rPr>
                <w:rFonts w:ascii="Calibri" w:hAnsi="Calibri"/>
                <w:color w:val="111111"/>
                <w:sz w:val="17"/>
              </w:rPr>
              <w:t>Retained on the form; no score contribution.</w:t>
            </w:r>
          </w:p>
        </w:tc>
      </w:tr>
      <w:tr>
        <w:trPr>
          <w:cantSplit/>
        </w:trPr>
        <w:tc>
          <w:tcPr>
            <w:tcW w:type="dxa" w:w="2200"/>
            <w:tcMar>
              <w:top w:w="80" w:type="dxa"/>
              <w:start w:w="120" w:type="dxa"/>
              <w:bottom w:w="80" w:type="dxa"/>
              <w:end w:w="120" w:type="dxa"/>
            </w:tcMar>
            <w:vAlign w:val="center"/>
          </w:tcPr>
          <w:p>
            <w:pPr>
              <w:spacing w:after="0" w:line="240" w:lineRule="auto"/>
            </w:pPr>
            <w:r>
              <w:rPr>
                <w:rFonts w:ascii="Calibri" w:hAnsi="Calibri"/>
                <w:color w:val="111111"/>
                <w:sz w:val="17"/>
              </w:rPr>
              <w:t>Last Name</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7"/>
              </w:rPr>
              <w:t>lastname</w:t>
            </w:r>
          </w:p>
        </w:tc>
        <w:tc>
          <w:tcPr>
            <w:tcW w:type="dxa" w:w="4660"/>
            <w:tcMar>
              <w:top w:w="80" w:type="dxa"/>
              <w:start w:w="120" w:type="dxa"/>
              <w:bottom w:w="80" w:type="dxa"/>
              <w:end w:w="120" w:type="dxa"/>
            </w:tcMar>
            <w:vAlign w:val="center"/>
          </w:tcPr>
          <w:p>
            <w:pPr>
              <w:spacing w:after="0" w:line="240" w:lineRule="auto"/>
            </w:pPr>
            <w:r>
              <w:rPr>
                <w:rFonts w:ascii="Calibri" w:hAnsi="Calibri"/>
                <w:color w:val="111111"/>
                <w:sz w:val="17"/>
              </w:rPr>
              <w:t>Retained on the form; no score contribution.</w:t>
            </w:r>
          </w:p>
        </w:tc>
      </w:tr>
      <w:tr>
        <w:trPr>
          <w:cantSplit/>
        </w:trPr>
        <w:tc>
          <w:tcPr>
            <w:tcW w:type="dxa" w:w="2200"/>
            <w:tcMar>
              <w:top w:w="80" w:type="dxa"/>
              <w:start w:w="120" w:type="dxa"/>
              <w:bottom w:w="80" w:type="dxa"/>
              <w:end w:w="120" w:type="dxa"/>
            </w:tcMar>
            <w:vAlign w:val="center"/>
          </w:tcPr>
          <w:p>
            <w:pPr>
              <w:spacing w:after="0" w:line="240" w:lineRule="auto"/>
            </w:pPr>
            <w:r>
              <w:rPr>
                <w:rFonts w:ascii="Calibri" w:hAnsi="Calibri"/>
                <w:color w:val="111111"/>
                <w:sz w:val="17"/>
              </w:rPr>
              <w:t>Company Name</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7"/>
              </w:rPr>
              <w:t>companyname</w:t>
            </w:r>
          </w:p>
        </w:tc>
        <w:tc>
          <w:tcPr>
            <w:tcW w:type="dxa" w:w="4660"/>
            <w:tcMar>
              <w:top w:w="80" w:type="dxa"/>
              <w:start w:w="120" w:type="dxa"/>
              <w:bottom w:w="80" w:type="dxa"/>
              <w:end w:w="120" w:type="dxa"/>
            </w:tcMar>
            <w:vAlign w:val="center"/>
          </w:tcPr>
          <w:p>
            <w:pPr>
              <w:spacing w:after="0" w:line="240" w:lineRule="auto"/>
            </w:pPr>
            <w:r>
              <w:rPr>
                <w:rFonts w:ascii="Calibri" w:hAnsi="Calibri"/>
                <w:color w:val="111111"/>
                <w:sz w:val="17"/>
              </w:rPr>
              <w:t>25-point scoring input and Validate Lead check.</w:t>
            </w:r>
          </w:p>
        </w:tc>
      </w:tr>
      <w:tr>
        <w:trPr>
          <w:cantSplit/>
        </w:trPr>
        <w:tc>
          <w:tcPr>
            <w:tcW w:type="dxa" w:w="2200"/>
            <w:tcMar>
              <w:top w:w="80" w:type="dxa"/>
              <w:start w:w="120" w:type="dxa"/>
              <w:bottom w:w="80" w:type="dxa"/>
              <w:end w:w="120" w:type="dxa"/>
            </w:tcMar>
            <w:vAlign w:val="center"/>
          </w:tcPr>
          <w:p>
            <w:pPr>
              <w:spacing w:after="0" w:line="240" w:lineRule="auto"/>
            </w:pPr>
            <w:r>
              <w:rPr>
                <w:rFonts w:ascii="Calibri" w:hAnsi="Calibri"/>
                <w:color w:val="111111"/>
                <w:sz w:val="17"/>
              </w:rPr>
              <w:t>Business Phone</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7"/>
              </w:rPr>
              <w:t>telephone1</w:t>
            </w:r>
          </w:p>
        </w:tc>
        <w:tc>
          <w:tcPr>
            <w:tcW w:type="dxa" w:w="4660"/>
            <w:tcMar>
              <w:top w:w="80" w:type="dxa"/>
              <w:start w:w="120" w:type="dxa"/>
              <w:bottom w:w="80" w:type="dxa"/>
              <w:end w:w="120" w:type="dxa"/>
            </w:tcMar>
            <w:vAlign w:val="center"/>
          </w:tcPr>
          <w:p>
            <w:pPr>
              <w:spacing w:after="0" w:line="240" w:lineRule="auto"/>
            </w:pPr>
            <w:r>
              <w:rPr>
                <w:rFonts w:ascii="Calibri" w:hAnsi="Calibri"/>
                <w:color w:val="111111"/>
                <w:sz w:val="17"/>
              </w:rPr>
              <w:t>25-point scoring input and mandatory contact-channel alternative.</w:t>
            </w:r>
          </w:p>
        </w:tc>
      </w:tr>
      <w:tr>
        <w:trPr>
          <w:cantSplit/>
        </w:trPr>
        <w:tc>
          <w:tcPr>
            <w:tcW w:type="dxa" w:w="2200"/>
            <w:tcMar>
              <w:top w:w="80" w:type="dxa"/>
              <w:start w:w="120" w:type="dxa"/>
              <w:bottom w:w="80" w:type="dxa"/>
              <w:end w:w="120" w:type="dxa"/>
            </w:tcMar>
            <w:vAlign w:val="center"/>
          </w:tcPr>
          <w:p>
            <w:pPr>
              <w:spacing w:after="0" w:line="240" w:lineRule="auto"/>
            </w:pPr>
            <w:r>
              <w:rPr>
                <w:rFonts w:ascii="Calibri" w:hAnsi="Calibri"/>
                <w:color w:val="111111"/>
                <w:sz w:val="17"/>
              </w:rPr>
              <w:t>Email</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7"/>
              </w:rPr>
              <w:t>emailaddress1</w:t>
            </w:r>
          </w:p>
        </w:tc>
        <w:tc>
          <w:tcPr>
            <w:tcW w:type="dxa" w:w="4660"/>
            <w:tcMar>
              <w:top w:w="80" w:type="dxa"/>
              <w:start w:w="120" w:type="dxa"/>
              <w:bottom w:w="80" w:type="dxa"/>
              <w:end w:w="120" w:type="dxa"/>
            </w:tcMar>
            <w:vAlign w:val="center"/>
          </w:tcPr>
          <w:p>
            <w:pPr>
              <w:spacing w:after="0" w:line="240" w:lineRule="auto"/>
            </w:pPr>
            <w:r>
              <w:rPr>
                <w:rFonts w:ascii="Calibri" w:hAnsi="Calibri"/>
                <w:color w:val="111111"/>
                <w:sz w:val="17"/>
              </w:rPr>
              <w:t>25-point scoring input and mandatory contact-channel alternative.</w:t>
            </w:r>
          </w:p>
        </w:tc>
      </w:tr>
      <w:tr>
        <w:trPr>
          <w:cantSplit/>
        </w:trPr>
        <w:tc>
          <w:tcPr>
            <w:tcW w:type="dxa" w:w="2200"/>
            <w:tcMar>
              <w:top w:w="80" w:type="dxa"/>
              <w:start w:w="120" w:type="dxa"/>
              <w:bottom w:w="80" w:type="dxa"/>
              <w:end w:w="120" w:type="dxa"/>
            </w:tcMar>
            <w:vAlign w:val="center"/>
          </w:tcPr>
          <w:p>
            <w:pPr>
              <w:spacing w:after="0" w:line="240" w:lineRule="auto"/>
            </w:pPr>
            <w:r>
              <w:rPr>
                <w:rFonts w:ascii="Calibri" w:hAnsi="Calibri"/>
                <w:color w:val="111111"/>
                <w:sz w:val="17"/>
              </w:rPr>
              <w:t>Lead Source</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7"/>
              </w:rPr>
              <w:t>leadsourcecode</w:t>
            </w:r>
          </w:p>
        </w:tc>
        <w:tc>
          <w:tcPr>
            <w:tcW w:type="dxa" w:w="4660"/>
            <w:tcMar>
              <w:top w:w="80" w:type="dxa"/>
              <w:start w:w="120" w:type="dxa"/>
              <w:bottom w:w="80" w:type="dxa"/>
              <w:end w:w="120" w:type="dxa"/>
            </w:tcMar>
            <w:vAlign w:val="center"/>
          </w:tcPr>
          <w:p>
            <w:pPr>
              <w:spacing w:after="0" w:line="240" w:lineRule="auto"/>
            </w:pPr>
            <w:r>
              <w:rPr>
                <w:rFonts w:ascii="Calibri" w:hAnsi="Calibri"/>
                <w:color w:val="111111"/>
                <w:sz w:val="17"/>
              </w:rPr>
              <w:t>25-point scoring input and Validate Lead check.</w:t>
            </w:r>
          </w:p>
        </w:tc>
      </w:tr>
      <w:tr>
        <w:trPr>
          <w:cantSplit/>
        </w:trPr>
        <w:tc>
          <w:tcPr>
            <w:tcW w:type="dxa" w:w="2200"/>
            <w:tcMar>
              <w:top w:w="80" w:type="dxa"/>
              <w:start w:w="120" w:type="dxa"/>
              <w:bottom w:w="80" w:type="dxa"/>
              <w:end w:w="120" w:type="dxa"/>
            </w:tcMar>
            <w:vAlign w:val="center"/>
          </w:tcPr>
          <w:p>
            <w:pPr>
              <w:spacing w:after="0" w:line="240" w:lineRule="auto"/>
            </w:pPr>
            <w:r>
              <w:rPr>
                <w:rFonts w:ascii="Calibri" w:hAnsi="Calibri"/>
                <w:color w:val="111111"/>
                <w:sz w:val="17"/>
              </w:rPr>
              <w:t>Owner</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7"/>
              </w:rPr>
              <w:t>ownerid</w:t>
            </w:r>
          </w:p>
        </w:tc>
        <w:tc>
          <w:tcPr>
            <w:tcW w:type="dxa" w:w="4660"/>
            <w:tcMar>
              <w:top w:w="80" w:type="dxa"/>
              <w:start w:w="120" w:type="dxa"/>
              <w:bottom w:w="80" w:type="dxa"/>
              <w:end w:w="120" w:type="dxa"/>
            </w:tcMar>
            <w:vAlign w:val="center"/>
          </w:tcPr>
          <w:p>
            <w:pPr>
              <w:spacing w:after="0" w:line="240" w:lineRule="auto"/>
            </w:pPr>
            <w:r>
              <w:rPr>
                <w:rFonts w:ascii="Calibri" w:hAnsi="Calibri"/>
                <w:color w:val="111111"/>
                <w:sz w:val="17"/>
              </w:rPr>
              <w:t>Retained; no score contribution.</w:t>
            </w:r>
          </w:p>
        </w:tc>
      </w:tr>
      <w:tr>
        <w:trPr>
          <w:cantSplit/>
        </w:trPr>
        <w:tc>
          <w:tcPr>
            <w:tcW w:type="dxa" w:w="2200"/>
            <w:tcMar>
              <w:top w:w="80" w:type="dxa"/>
              <w:start w:w="120" w:type="dxa"/>
              <w:bottom w:w="80" w:type="dxa"/>
              <w:end w:w="120" w:type="dxa"/>
            </w:tcMar>
            <w:vAlign w:val="center"/>
          </w:tcPr>
          <w:p>
            <w:pPr>
              <w:spacing w:after="0" w:line="240" w:lineRule="auto"/>
            </w:pPr>
            <w:r>
              <w:rPr>
                <w:rFonts w:ascii="Calibri" w:hAnsi="Calibri"/>
                <w:color w:val="111111"/>
                <w:sz w:val="17"/>
              </w:rPr>
              <w:t>Status</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7"/>
              </w:rPr>
              <w:t>statecode</w:t>
            </w:r>
          </w:p>
        </w:tc>
        <w:tc>
          <w:tcPr>
            <w:tcW w:type="dxa" w:w="4660"/>
            <w:tcMar>
              <w:top w:w="80" w:type="dxa"/>
              <w:start w:w="120" w:type="dxa"/>
              <w:bottom w:w="80" w:type="dxa"/>
              <w:end w:w="120" w:type="dxa"/>
            </w:tcMar>
            <w:vAlign w:val="center"/>
          </w:tcPr>
          <w:p>
            <w:pPr>
              <w:spacing w:after="0" w:line="240" w:lineRule="auto"/>
            </w:pPr>
            <w:r>
              <w:rPr>
                <w:rFonts w:ascii="Calibri" w:hAnsi="Calibri"/>
                <w:color w:val="111111"/>
                <w:sz w:val="17"/>
              </w:rPr>
              <w:t>Retained; no direct customization requested.</w:t>
            </w:r>
          </w:p>
        </w:tc>
      </w:tr>
      <w:tr>
        <w:trPr>
          <w:cantSplit/>
        </w:trPr>
        <w:tc>
          <w:tcPr>
            <w:tcW w:type="dxa" w:w="2200"/>
            <w:tcMar>
              <w:top w:w="80" w:type="dxa"/>
              <w:start w:w="120" w:type="dxa"/>
              <w:bottom w:w="80" w:type="dxa"/>
              <w:end w:w="120" w:type="dxa"/>
            </w:tcMar>
            <w:vAlign w:val="center"/>
          </w:tcPr>
          <w:p>
            <w:pPr>
              <w:spacing w:after="0" w:line="240" w:lineRule="auto"/>
            </w:pPr>
            <w:r>
              <w:rPr>
                <w:rFonts w:ascii="Calibri" w:hAnsi="Calibri"/>
                <w:color w:val="111111"/>
                <w:sz w:val="17"/>
              </w:rPr>
              <w:t>Status Reason</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7"/>
              </w:rPr>
              <w:t>statuscode</w:t>
            </w:r>
          </w:p>
        </w:tc>
        <w:tc>
          <w:tcPr>
            <w:tcW w:type="dxa" w:w="4660"/>
            <w:tcMar>
              <w:top w:w="80" w:type="dxa"/>
              <w:start w:w="120" w:type="dxa"/>
              <w:bottom w:w="80" w:type="dxa"/>
              <w:end w:w="120" w:type="dxa"/>
            </w:tcMar>
            <w:vAlign w:val="center"/>
          </w:tcPr>
          <w:p>
            <w:pPr>
              <w:spacing w:after="0" w:line="240" w:lineRule="auto"/>
            </w:pPr>
            <w:r>
              <w:rPr>
                <w:rFonts w:ascii="Calibri" w:hAnsi="Calibri"/>
                <w:color w:val="111111"/>
                <w:sz w:val="17"/>
              </w:rPr>
              <w:t>Retained; standard qualification transitions continue.</w:t>
            </w:r>
          </w:p>
        </w:tc>
      </w:tr>
    </w:tbl>
    <w:p>
      <w:pPr>
        <w:spacing w:after="40"/>
      </w:pPr>
    </w:p>
    <w:p>
      <w:pPr>
        <w:pStyle w:val="Heading2"/>
        <w:keepNext/>
      </w:pPr>
      <w:r>
        <w:t>8.2 Custom Columns</w:t>
      </w:r>
    </w:p>
    <w:tbl>
      <w:tblPr>
        <w:tblStyle w:val="TableGrid"/>
        <w:tblW w:type="dxa" w:w="9360"/>
        <w:jc w:val="left"/>
        <w:tblLayout w:type="fixed"/>
        <w:tblLook w:firstColumn="1" w:firstRow="1" w:lastColumn="0" w:lastRow="0" w:noHBand="0" w:noVBand="1" w:val="04A0"/>
        <w:tblInd w:w="120" w:type="dxa"/>
      </w:tblPr>
      <w:tblGrid>
        <w:gridCol w:w="2100"/>
        <w:gridCol w:w="1700"/>
        <w:gridCol w:w="3300"/>
        <w:gridCol w:w="2260"/>
      </w:tblGrid>
      <w:tr>
        <w:trPr>
          <w:tblHeader w:val="true"/>
        </w:trPr>
        <w:tc>
          <w:tcPr>
            <w:tcW w:type="dxa" w:w="2100"/>
            <w:shd w:fill="F2F4F7"/>
            <w:tcMar>
              <w:top w:w="80" w:type="dxa"/>
              <w:start w:w="120" w:type="dxa"/>
              <w:bottom w:w="80" w:type="dxa"/>
              <w:end w:w="120" w:type="dxa"/>
            </w:tcMar>
            <w:vAlign w:val="center"/>
          </w:tcPr>
          <w:p>
            <w:pPr>
              <w:spacing w:after="0" w:line="240" w:lineRule="auto"/>
            </w:pPr>
            <w:r>
              <w:rPr>
                <w:rFonts w:ascii="Calibri" w:hAnsi="Calibri"/>
                <w:b/>
                <w:color w:val="172B4D"/>
                <w:sz w:val="18"/>
              </w:rPr>
              <w:t>Display name</w:t>
            </w:r>
          </w:p>
        </w:tc>
        <w:tc>
          <w:tcPr>
            <w:tcW w:type="dxa" w:w="1700"/>
            <w:shd w:fill="F2F4F7"/>
            <w:tcMar>
              <w:top w:w="80" w:type="dxa"/>
              <w:start w:w="120" w:type="dxa"/>
              <w:bottom w:w="80" w:type="dxa"/>
              <w:end w:w="120" w:type="dxa"/>
            </w:tcMar>
            <w:vAlign w:val="center"/>
          </w:tcPr>
          <w:p>
            <w:pPr>
              <w:spacing w:after="0" w:line="240" w:lineRule="auto"/>
            </w:pPr>
            <w:r>
              <w:rPr>
                <w:rFonts w:ascii="Calibri" w:hAnsi="Calibri"/>
                <w:b/>
                <w:color w:val="172B4D"/>
                <w:sz w:val="18"/>
              </w:rPr>
              <w:t>Type</w:t>
            </w:r>
          </w:p>
        </w:tc>
        <w:tc>
          <w:tcPr>
            <w:tcW w:type="dxa" w:w="3300"/>
            <w:shd w:fill="F2F4F7"/>
            <w:tcMar>
              <w:top w:w="80" w:type="dxa"/>
              <w:start w:w="120" w:type="dxa"/>
              <w:bottom w:w="80" w:type="dxa"/>
              <w:end w:w="120" w:type="dxa"/>
            </w:tcMar>
            <w:vAlign w:val="center"/>
          </w:tcPr>
          <w:p>
            <w:pPr>
              <w:spacing w:after="0" w:line="240" w:lineRule="auto"/>
            </w:pPr>
            <w:r>
              <w:rPr>
                <w:rFonts w:ascii="Calibri" w:hAnsi="Calibri"/>
                <w:b/>
                <w:color w:val="172B4D"/>
                <w:sz w:val="18"/>
              </w:rPr>
              <w:t>Behavior</w:t>
            </w:r>
          </w:p>
        </w:tc>
        <w:tc>
          <w:tcPr>
            <w:tcW w:type="dxa" w:w="2260"/>
            <w:shd w:fill="F2F4F7"/>
            <w:tcMar>
              <w:top w:w="80" w:type="dxa"/>
              <w:start w:w="120" w:type="dxa"/>
              <w:bottom w:w="80" w:type="dxa"/>
              <w:end w:w="120" w:type="dxa"/>
            </w:tcMar>
            <w:vAlign w:val="center"/>
          </w:tcPr>
          <w:p>
            <w:pPr>
              <w:spacing w:after="0" w:line="240" w:lineRule="auto"/>
            </w:pPr>
            <w:r>
              <w:rPr>
                <w:rFonts w:ascii="Calibri" w:hAnsi="Calibri"/>
                <w:b/>
                <w:color w:val="172B4D"/>
                <w:sz w:val="18"/>
              </w:rPr>
              <w:t>Logical name</w:t>
            </w:r>
          </w:p>
        </w:tc>
      </w:tr>
      <w:tr>
        <w:trPr>
          <w:cantSplit/>
        </w:trPr>
        <w:tc>
          <w:tcPr>
            <w:tcW w:type="dxa" w:w="2100"/>
            <w:tcMar>
              <w:top w:w="80" w:type="dxa"/>
              <w:start w:w="120" w:type="dxa"/>
              <w:bottom w:w="80" w:type="dxa"/>
              <w:end w:w="120" w:type="dxa"/>
            </w:tcMar>
            <w:vAlign w:val="center"/>
          </w:tcPr>
          <w:p>
            <w:pPr>
              <w:spacing w:after="0" w:line="240" w:lineRule="auto"/>
            </w:pPr>
            <w:r>
              <w:rPr>
                <w:rFonts w:ascii="Calibri" w:hAnsi="Calibri"/>
                <w:color w:val="111111"/>
                <w:sz w:val="18"/>
              </w:rPr>
              <w:t>Qualification Score</w:t>
            </w:r>
          </w:p>
        </w:tc>
        <w:tc>
          <w:tcPr>
            <w:tcW w:type="dxa" w:w="1700"/>
            <w:tcMar>
              <w:top w:w="80" w:type="dxa"/>
              <w:start w:w="120" w:type="dxa"/>
              <w:bottom w:w="80" w:type="dxa"/>
              <w:end w:w="120" w:type="dxa"/>
            </w:tcMar>
            <w:vAlign w:val="center"/>
          </w:tcPr>
          <w:p>
            <w:pPr>
              <w:spacing w:after="0" w:line="240" w:lineRule="auto"/>
            </w:pPr>
            <w:r>
              <w:rPr>
                <w:rFonts w:ascii="Calibri" w:hAnsi="Calibri"/>
                <w:color w:val="111111"/>
                <w:sz w:val="18"/>
              </w:rPr>
              <w:t>Whole Number</w:t>
            </w:r>
          </w:p>
        </w:tc>
        <w:tc>
          <w:tcPr>
            <w:tcW w:type="dxa" w:w="3300"/>
            <w:tcMar>
              <w:top w:w="80" w:type="dxa"/>
              <w:start w:w="120" w:type="dxa"/>
              <w:bottom w:w="80" w:type="dxa"/>
              <w:end w:w="120" w:type="dxa"/>
            </w:tcMar>
            <w:vAlign w:val="center"/>
          </w:tcPr>
          <w:p>
            <w:pPr>
              <w:spacing w:after="0" w:line="240" w:lineRule="auto"/>
            </w:pPr>
            <w:r>
              <w:rPr>
                <w:rFonts w:ascii="Calibri" w:hAnsi="Calibri"/>
                <w:color w:val="111111"/>
                <w:sz w:val="18"/>
              </w:rPr>
              <w:t>Stores the calculated value from 0 to 100.</w:t>
            </w:r>
          </w:p>
        </w:tc>
        <w:tc>
          <w:tcPr>
            <w:tcW w:type="dxa" w:w="2260"/>
            <w:tcMar>
              <w:top w:w="80" w:type="dxa"/>
              <w:start w:w="120" w:type="dxa"/>
              <w:bottom w:w="80" w:type="dxa"/>
              <w:end w:w="120" w:type="dxa"/>
            </w:tcMar>
            <w:vAlign w:val="center"/>
          </w:tcPr>
          <w:p>
            <w:pPr>
              <w:spacing w:after="0" w:line="240" w:lineRule="auto"/>
            </w:pPr>
            <w:r>
              <w:rPr>
                <w:rFonts w:ascii="Calibri" w:hAnsi="Calibri"/>
                <w:color w:val="111111"/>
                <w:sz w:val="18"/>
              </w:rPr>
              <w:t>Publisher prefix + name; confirm during build.</w:t>
            </w:r>
          </w:p>
        </w:tc>
      </w:tr>
      <w:tr>
        <w:trPr>
          <w:cantSplit/>
        </w:trPr>
        <w:tc>
          <w:tcPr>
            <w:tcW w:type="dxa" w:w="2100"/>
            <w:tcMar>
              <w:top w:w="80" w:type="dxa"/>
              <w:start w:w="120" w:type="dxa"/>
              <w:bottom w:w="80" w:type="dxa"/>
              <w:end w:w="120" w:type="dxa"/>
            </w:tcMar>
            <w:vAlign w:val="center"/>
          </w:tcPr>
          <w:p>
            <w:pPr>
              <w:spacing w:after="0" w:line="240" w:lineRule="auto"/>
            </w:pPr>
            <w:r>
              <w:rPr>
                <w:rFonts w:ascii="Calibri" w:hAnsi="Calibri"/>
                <w:color w:val="111111"/>
                <w:sz w:val="18"/>
              </w:rPr>
              <w:t>Qualification Remarks</w:t>
            </w:r>
          </w:p>
        </w:tc>
        <w:tc>
          <w:tcPr>
            <w:tcW w:type="dxa" w:w="1700"/>
            <w:tcMar>
              <w:top w:w="80" w:type="dxa"/>
              <w:start w:w="120" w:type="dxa"/>
              <w:bottom w:w="80" w:type="dxa"/>
              <w:end w:w="120" w:type="dxa"/>
            </w:tcMar>
            <w:vAlign w:val="center"/>
          </w:tcPr>
          <w:p>
            <w:pPr>
              <w:spacing w:after="0" w:line="240" w:lineRule="auto"/>
            </w:pPr>
            <w:r>
              <w:rPr>
                <w:rFonts w:ascii="Calibri" w:hAnsi="Calibri"/>
                <w:color w:val="111111"/>
                <w:sz w:val="18"/>
              </w:rPr>
              <w:t>Multiple Lines of Text</w:t>
            </w:r>
          </w:p>
        </w:tc>
        <w:tc>
          <w:tcPr>
            <w:tcW w:type="dxa" w:w="3300"/>
            <w:tcMar>
              <w:top w:w="80" w:type="dxa"/>
              <w:start w:w="120" w:type="dxa"/>
              <w:bottom w:w="80" w:type="dxa"/>
              <w:end w:w="120" w:type="dxa"/>
            </w:tcMar>
            <w:vAlign w:val="center"/>
          </w:tcPr>
          <w:p>
            <w:pPr>
              <w:spacing w:after="0" w:line="240" w:lineRule="auto"/>
            </w:pPr>
            <w:r>
              <w:rPr>
                <w:rFonts w:ascii="Calibri" w:hAnsi="Calibri"/>
                <w:color w:val="111111"/>
                <w:sz w:val="18"/>
              </w:rPr>
              <w:t>Available for sales-user comments; optional unless later confirmed.</w:t>
            </w:r>
          </w:p>
        </w:tc>
        <w:tc>
          <w:tcPr>
            <w:tcW w:type="dxa" w:w="2260"/>
            <w:tcMar>
              <w:top w:w="80" w:type="dxa"/>
              <w:start w:w="120" w:type="dxa"/>
              <w:bottom w:w="80" w:type="dxa"/>
              <w:end w:w="120" w:type="dxa"/>
            </w:tcMar>
            <w:vAlign w:val="center"/>
          </w:tcPr>
          <w:p>
            <w:pPr>
              <w:spacing w:after="0" w:line="240" w:lineRule="auto"/>
            </w:pPr>
            <w:r>
              <w:rPr>
                <w:rFonts w:ascii="Calibri" w:hAnsi="Calibri"/>
                <w:color w:val="111111"/>
                <w:sz w:val="18"/>
              </w:rPr>
              <w:t>Publisher prefix + name; confirm during build.</w:t>
            </w:r>
          </w:p>
        </w:tc>
      </w:tr>
    </w:tbl>
    <w:p>
      <w:pPr>
        <w:spacing w:after="40"/>
      </w:pPr>
    </w:p>
    <w:p>
      <w:pPr>
        <w:spacing w:before="0" w:after="120" w:line="264" w:lineRule="auto"/>
      </w:pPr>
      <w:r>
        <w:rPr>
          <w:rFonts w:ascii="Calibri" w:hAnsi="Calibri"/>
          <w:i w:val="0"/>
          <w:color w:val="111111"/>
        </w:rPr>
        <w:t>Form placement should keep the two custom columns close to the existing contact and source information so users can understand the score in context. Exact tab, section, label placement, and column width are design decisions for the existing form owner.</w:t>
      </w:r>
    </w:p>
    <w:p>
      <w:pPr>
        <w:pStyle w:val="Heading1"/>
        <w:keepNext/>
      </w:pPr>
      <w:r>
        <w:t>9. Non-Functional Requirements</w:t>
      </w:r>
    </w:p>
    <w:tbl>
      <w:tblPr>
        <w:tblStyle w:val="TableGrid"/>
        <w:tblW w:type="dxa" w:w="9360"/>
        <w:jc w:val="left"/>
        <w:tblLayout w:type="fixed"/>
        <w:tblLook w:firstColumn="1" w:firstRow="1" w:lastColumn="0" w:lastRow="0" w:noHBand="0" w:noVBand="1" w:val="04A0"/>
        <w:tblInd w:w="120" w:type="dxa"/>
      </w:tblPr>
      <w:tblGrid>
        <w:gridCol w:w="1000"/>
        <w:gridCol w:w="1900"/>
        <w:gridCol w:w="6460"/>
      </w:tblGrid>
      <w:tr>
        <w:trPr>
          <w:tblHeader w:val="true"/>
        </w:trPr>
        <w:tc>
          <w:tcPr>
            <w:tcW w:type="dxa" w:w="1000"/>
            <w:shd w:fill="F2F4F7"/>
            <w:tcMar>
              <w:top w:w="80" w:type="dxa"/>
              <w:start w:w="120" w:type="dxa"/>
              <w:bottom w:w="80" w:type="dxa"/>
              <w:end w:w="120" w:type="dxa"/>
            </w:tcMar>
            <w:vAlign w:val="center"/>
          </w:tcPr>
          <w:p>
            <w:pPr>
              <w:spacing w:after="0" w:line="240" w:lineRule="auto"/>
            </w:pPr>
            <w:r>
              <w:rPr>
                <w:rFonts w:ascii="Calibri" w:hAnsi="Calibri"/>
                <w:b/>
                <w:color w:val="172B4D"/>
                <w:sz w:val="17"/>
              </w:rPr>
              <w:t>ID</w:t>
            </w:r>
          </w:p>
        </w:tc>
        <w:tc>
          <w:tcPr>
            <w:tcW w:type="dxa" w:w="1900"/>
            <w:shd w:fill="F2F4F7"/>
            <w:tcMar>
              <w:top w:w="80" w:type="dxa"/>
              <w:start w:w="120" w:type="dxa"/>
              <w:bottom w:w="80" w:type="dxa"/>
              <w:end w:w="120" w:type="dxa"/>
            </w:tcMar>
            <w:vAlign w:val="center"/>
          </w:tcPr>
          <w:p>
            <w:pPr>
              <w:spacing w:after="0" w:line="240" w:lineRule="auto"/>
            </w:pPr>
            <w:r>
              <w:rPr>
                <w:rFonts w:ascii="Calibri" w:hAnsi="Calibri"/>
                <w:b/>
                <w:color w:val="172B4D"/>
                <w:sz w:val="17"/>
              </w:rPr>
              <w:t>Area</w:t>
            </w:r>
          </w:p>
        </w:tc>
        <w:tc>
          <w:tcPr>
            <w:tcW w:type="dxa" w:w="6460"/>
            <w:shd w:fill="F2F4F7"/>
            <w:tcMar>
              <w:top w:w="80" w:type="dxa"/>
              <w:start w:w="120" w:type="dxa"/>
              <w:bottom w:w="80" w:type="dxa"/>
              <w:end w:w="120" w:type="dxa"/>
            </w:tcMar>
            <w:vAlign w:val="center"/>
          </w:tcPr>
          <w:p>
            <w:pPr>
              <w:spacing w:after="0" w:line="240" w:lineRule="auto"/>
            </w:pPr>
            <w:r>
              <w:rPr>
                <w:rFonts w:ascii="Calibri" w:hAnsi="Calibri"/>
                <w:b/>
                <w:color w:val="172B4D"/>
                <w:sz w:val="17"/>
              </w:rPr>
              <w:t>Requirement</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NFR-01</w:t>
            </w:r>
          </w:p>
        </w:tc>
        <w:tc>
          <w:tcPr>
            <w:tcW w:type="dxa" w:w="1900"/>
            <w:tcMar>
              <w:top w:w="80" w:type="dxa"/>
              <w:start w:w="120" w:type="dxa"/>
              <w:bottom w:w="80" w:type="dxa"/>
              <w:end w:w="120" w:type="dxa"/>
            </w:tcMar>
            <w:vAlign w:val="center"/>
          </w:tcPr>
          <w:p>
            <w:pPr>
              <w:spacing w:after="0" w:line="240" w:lineRule="auto"/>
            </w:pPr>
            <w:r>
              <w:rPr>
                <w:rFonts w:ascii="Calibri" w:hAnsi="Calibri"/>
                <w:color w:val="111111"/>
                <w:sz w:val="17"/>
              </w:rPr>
              <w:t>Consistency</w:t>
            </w:r>
          </w:p>
        </w:tc>
        <w:tc>
          <w:tcPr>
            <w:tcW w:type="dxa" w:w="6460"/>
            <w:tcMar>
              <w:top w:w="80" w:type="dxa"/>
              <w:start w:w="120" w:type="dxa"/>
              <w:bottom w:w="80" w:type="dxa"/>
              <w:end w:w="120" w:type="dxa"/>
            </w:tcMar>
            <w:vAlign w:val="center"/>
          </w:tcPr>
          <w:p>
            <w:pPr>
              <w:spacing w:after="0" w:line="240" w:lineRule="auto"/>
            </w:pPr>
            <w:r>
              <w:rPr>
                <w:rFonts w:ascii="Calibri" w:hAnsi="Calibri"/>
                <w:color w:val="111111"/>
                <w:sz w:val="17"/>
              </w:rPr>
              <w:t>The same score formula shall be used by field-change and Validate Lead actions.</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NFR-02</w:t>
            </w:r>
          </w:p>
        </w:tc>
        <w:tc>
          <w:tcPr>
            <w:tcW w:type="dxa" w:w="1900"/>
            <w:tcMar>
              <w:top w:w="80" w:type="dxa"/>
              <w:start w:w="120" w:type="dxa"/>
              <w:bottom w:w="80" w:type="dxa"/>
              <w:end w:w="120" w:type="dxa"/>
            </w:tcMar>
            <w:vAlign w:val="center"/>
          </w:tcPr>
          <w:p>
            <w:pPr>
              <w:spacing w:after="0" w:line="240" w:lineRule="auto"/>
            </w:pPr>
            <w:r>
              <w:rPr>
                <w:rFonts w:ascii="Calibri" w:hAnsi="Calibri"/>
                <w:color w:val="111111"/>
                <w:sz w:val="17"/>
              </w:rPr>
              <w:t>Enforcement coverage</w:t>
            </w:r>
          </w:p>
        </w:tc>
        <w:tc>
          <w:tcPr>
            <w:tcW w:type="dxa" w:w="6460"/>
            <w:tcMar>
              <w:top w:w="80" w:type="dxa"/>
              <w:start w:w="120" w:type="dxa"/>
              <w:bottom w:w="80" w:type="dxa"/>
              <w:end w:w="120" w:type="dxa"/>
            </w:tcMar>
            <w:vAlign w:val="center"/>
          </w:tcPr>
          <w:p>
            <w:pPr>
              <w:spacing w:after="0" w:line="240" w:lineRule="auto"/>
            </w:pPr>
            <w:r>
              <w:rPr>
                <w:rFonts w:ascii="Calibri" w:hAnsi="Calibri"/>
                <w:color w:val="111111"/>
                <w:sz w:val="17"/>
              </w:rPr>
              <w:t>The mandatory contactability rule shall be enforced server-side so it applies beyond the interactive form, including supported API or automation calls that invoke qualification.</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NFR-03</w:t>
            </w:r>
          </w:p>
        </w:tc>
        <w:tc>
          <w:tcPr>
            <w:tcW w:type="dxa" w:w="1900"/>
            <w:tcMar>
              <w:top w:w="80" w:type="dxa"/>
              <w:start w:w="120" w:type="dxa"/>
              <w:bottom w:w="80" w:type="dxa"/>
              <w:end w:w="120" w:type="dxa"/>
            </w:tcMar>
            <w:vAlign w:val="center"/>
          </w:tcPr>
          <w:p>
            <w:pPr>
              <w:spacing w:after="0" w:line="240" w:lineRule="auto"/>
            </w:pPr>
            <w:r>
              <w:rPr>
                <w:rFonts w:ascii="Calibri" w:hAnsi="Calibri"/>
                <w:color w:val="111111"/>
                <w:sz w:val="17"/>
              </w:rPr>
              <w:t>User experience</w:t>
            </w:r>
          </w:p>
        </w:tc>
        <w:tc>
          <w:tcPr>
            <w:tcW w:type="dxa" w:w="6460"/>
            <w:tcMar>
              <w:top w:w="80" w:type="dxa"/>
              <w:start w:w="120" w:type="dxa"/>
              <w:bottom w:w="80" w:type="dxa"/>
              <w:end w:w="120" w:type="dxa"/>
            </w:tcMar>
            <w:vAlign w:val="center"/>
          </w:tcPr>
          <w:p>
            <w:pPr>
              <w:spacing w:after="0" w:line="240" w:lineRule="auto"/>
            </w:pPr>
            <w:r>
              <w:rPr>
                <w:rFonts w:ascii="Calibri" w:hAnsi="Calibri"/>
                <w:color w:val="111111"/>
                <w:sz w:val="17"/>
              </w:rPr>
              <w:t>Warnings and validation results shall be readable, actionable, and must not obscure the standard Qualify command.</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NFR-04</w:t>
            </w:r>
          </w:p>
        </w:tc>
        <w:tc>
          <w:tcPr>
            <w:tcW w:type="dxa" w:w="1900"/>
            <w:tcMar>
              <w:top w:w="80" w:type="dxa"/>
              <w:start w:w="120" w:type="dxa"/>
              <w:bottom w:w="80" w:type="dxa"/>
              <w:end w:w="120" w:type="dxa"/>
            </w:tcMar>
            <w:vAlign w:val="center"/>
          </w:tcPr>
          <w:p>
            <w:pPr>
              <w:spacing w:after="0" w:line="240" w:lineRule="auto"/>
            </w:pPr>
            <w:r>
              <w:rPr>
                <w:rFonts w:ascii="Calibri" w:hAnsi="Calibri"/>
                <w:color w:val="111111"/>
                <w:sz w:val="17"/>
              </w:rPr>
              <w:t>Performance</w:t>
            </w:r>
          </w:p>
        </w:tc>
        <w:tc>
          <w:tcPr>
            <w:tcW w:type="dxa" w:w="6460"/>
            <w:tcMar>
              <w:top w:w="80" w:type="dxa"/>
              <w:start w:w="120" w:type="dxa"/>
              <w:bottom w:w="80" w:type="dxa"/>
              <w:end w:w="120" w:type="dxa"/>
            </w:tcMar>
            <w:vAlign w:val="center"/>
          </w:tcPr>
          <w:p>
            <w:pPr>
              <w:spacing w:after="0" w:line="240" w:lineRule="auto"/>
            </w:pPr>
            <w:r>
              <w:rPr>
                <w:rFonts w:ascii="Calibri" w:hAnsi="Calibri"/>
                <w:color w:val="111111"/>
                <w:sz w:val="17"/>
              </w:rPr>
              <w:t>Client calculation shall be immediate for normal form interaction and the plug-in shall retrieve/process only data needed for validation. A numeric response-time target is not yet defined.</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NFR-05</w:t>
            </w:r>
          </w:p>
        </w:tc>
        <w:tc>
          <w:tcPr>
            <w:tcW w:type="dxa" w:w="1900"/>
            <w:tcMar>
              <w:top w:w="80" w:type="dxa"/>
              <w:start w:w="120" w:type="dxa"/>
              <w:bottom w:w="80" w:type="dxa"/>
              <w:end w:w="120" w:type="dxa"/>
            </w:tcMar>
            <w:vAlign w:val="center"/>
          </w:tcPr>
          <w:p>
            <w:pPr>
              <w:spacing w:after="0" w:line="240" w:lineRule="auto"/>
            </w:pPr>
            <w:r>
              <w:rPr>
                <w:rFonts w:ascii="Calibri" w:hAnsi="Calibri"/>
                <w:color w:val="111111"/>
                <w:sz w:val="17"/>
              </w:rPr>
              <w:t>Maintainability</w:t>
            </w:r>
          </w:p>
        </w:tc>
        <w:tc>
          <w:tcPr>
            <w:tcW w:type="dxa" w:w="6460"/>
            <w:tcMar>
              <w:top w:w="80" w:type="dxa"/>
              <w:start w:w="120" w:type="dxa"/>
              <w:bottom w:w="80" w:type="dxa"/>
              <w:end w:w="120" w:type="dxa"/>
            </w:tcMar>
            <w:vAlign w:val="center"/>
          </w:tcPr>
          <w:p>
            <w:pPr>
              <w:spacing w:after="0" w:line="240" w:lineRule="auto"/>
            </w:pPr>
            <w:r>
              <w:rPr>
                <w:rFonts w:ascii="Calibri" w:hAnsi="Calibri"/>
                <w:color w:val="111111"/>
                <w:sz w:val="17"/>
              </w:rPr>
              <w:t>Client script shall use a single namespaced web resource, avoid deprecated client APIs, and centralize the score formula.</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NFR-06</w:t>
            </w:r>
          </w:p>
        </w:tc>
        <w:tc>
          <w:tcPr>
            <w:tcW w:type="dxa" w:w="1900"/>
            <w:tcMar>
              <w:top w:w="80" w:type="dxa"/>
              <w:start w:w="120" w:type="dxa"/>
              <w:bottom w:w="80" w:type="dxa"/>
              <w:end w:w="120" w:type="dxa"/>
            </w:tcMar>
            <w:vAlign w:val="center"/>
          </w:tcPr>
          <w:p>
            <w:pPr>
              <w:spacing w:after="0" w:line="240" w:lineRule="auto"/>
            </w:pPr>
            <w:r>
              <w:rPr>
                <w:rFonts w:ascii="Calibri" w:hAnsi="Calibri"/>
                <w:color w:val="111111"/>
                <w:sz w:val="17"/>
              </w:rPr>
              <w:t>ALM</w:t>
            </w:r>
          </w:p>
        </w:tc>
        <w:tc>
          <w:tcPr>
            <w:tcW w:type="dxa" w:w="6460"/>
            <w:tcMar>
              <w:top w:w="80" w:type="dxa"/>
              <w:start w:w="120" w:type="dxa"/>
              <w:bottom w:w="80" w:type="dxa"/>
              <w:end w:w="120" w:type="dxa"/>
            </w:tcMar>
            <w:vAlign w:val="center"/>
          </w:tcPr>
          <w:p>
            <w:pPr>
              <w:spacing w:after="0" w:line="240" w:lineRule="auto"/>
            </w:pPr>
            <w:r>
              <w:rPr>
                <w:rFonts w:ascii="Calibri" w:hAnsi="Calibri"/>
                <w:color w:val="111111"/>
                <w:sz w:val="17"/>
              </w:rPr>
              <w:t>All custom components shall be solution-aware and deployable through the agreed development, test, and production path.</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NFR-07</w:t>
            </w:r>
          </w:p>
        </w:tc>
        <w:tc>
          <w:tcPr>
            <w:tcW w:type="dxa" w:w="1900"/>
            <w:tcMar>
              <w:top w:w="80" w:type="dxa"/>
              <w:start w:w="120" w:type="dxa"/>
              <w:bottom w:w="80" w:type="dxa"/>
              <w:end w:w="120" w:type="dxa"/>
            </w:tcMar>
            <w:vAlign w:val="center"/>
          </w:tcPr>
          <w:p>
            <w:pPr>
              <w:spacing w:after="0" w:line="240" w:lineRule="auto"/>
            </w:pPr>
            <w:r>
              <w:rPr>
                <w:rFonts w:ascii="Calibri" w:hAnsi="Calibri"/>
                <w:color w:val="111111"/>
                <w:sz w:val="17"/>
              </w:rPr>
              <w:t>Compatibility</w:t>
            </w:r>
          </w:p>
        </w:tc>
        <w:tc>
          <w:tcPr>
            <w:tcW w:type="dxa" w:w="6460"/>
            <w:tcMar>
              <w:top w:w="80" w:type="dxa"/>
              <w:start w:w="120" w:type="dxa"/>
              <w:bottom w:w="80" w:type="dxa"/>
              <w:end w:w="120" w:type="dxa"/>
            </w:tcMar>
            <w:vAlign w:val="center"/>
          </w:tcPr>
          <w:p>
            <w:pPr>
              <w:spacing w:after="0" w:line="240" w:lineRule="auto"/>
            </w:pPr>
            <w:r>
              <w:rPr>
                <w:rFonts w:ascii="Calibri" w:hAnsi="Calibri"/>
                <w:color w:val="111111"/>
                <w:sz w:val="17"/>
              </w:rPr>
              <w:t>The enhancement shall be tested in the organization’s supported browsers, Dynamics 365 app, and current Lead Main Form configuration.</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NFR-08</w:t>
            </w:r>
          </w:p>
        </w:tc>
        <w:tc>
          <w:tcPr>
            <w:tcW w:type="dxa" w:w="1900"/>
            <w:tcMar>
              <w:top w:w="80" w:type="dxa"/>
              <w:start w:w="120" w:type="dxa"/>
              <w:bottom w:w="80" w:type="dxa"/>
              <w:end w:w="120" w:type="dxa"/>
            </w:tcMar>
            <w:vAlign w:val="center"/>
          </w:tcPr>
          <w:p>
            <w:pPr>
              <w:spacing w:after="0" w:line="240" w:lineRule="auto"/>
            </w:pPr>
            <w:r>
              <w:rPr>
                <w:rFonts w:ascii="Calibri" w:hAnsi="Calibri"/>
                <w:color w:val="111111"/>
                <w:sz w:val="17"/>
              </w:rPr>
              <w:t>Error handling</w:t>
            </w:r>
          </w:p>
        </w:tc>
        <w:tc>
          <w:tcPr>
            <w:tcW w:type="dxa" w:w="6460"/>
            <w:tcMar>
              <w:top w:w="80" w:type="dxa"/>
              <w:start w:w="120" w:type="dxa"/>
              <w:bottom w:w="80" w:type="dxa"/>
              <w:end w:w="120" w:type="dxa"/>
            </w:tcMar>
            <w:vAlign w:val="center"/>
          </w:tcPr>
          <w:p>
            <w:pPr>
              <w:spacing w:after="0" w:line="240" w:lineRule="auto"/>
            </w:pPr>
            <w:r>
              <w:rPr>
                <w:rFonts w:ascii="Calibri" w:hAnsi="Calibri"/>
                <w:color w:val="111111"/>
                <w:sz w:val="17"/>
              </w:rPr>
              <w:t>Unexpected client or server errors shall fail clearly without silently changing standard downstream data creation.</w:t>
            </w:r>
          </w:p>
        </w:tc>
      </w:tr>
    </w:tbl>
    <w:p>
      <w:pPr>
        <w:spacing w:after="40"/>
      </w:pPr>
    </w:p>
    <w:p>
      <w:pPr>
        <w:pStyle w:val="Heading1"/>
        <w:keepNext/>
      </w:pPr>
      <w:r>
        <w:t>10. Security, Integration, Reporting, and Compliance</w:t>
      </w:r>
    </w:p>
    <w:p>
      <w:pPr>
        <w:pStyle w:val="Heading2"/>
        <w:keepNext/>
      </w:pPr>
      <w:r>
        <w:t>10.1 Security and Access</w:t>
      </w:r>
    </w:p>
    <w:p>
      <w:pPr>
        <w:spacing w:before="0" w:after="120" w:line="264" w:lineRule="auto"/>
      </w:pPr>
      <w:r>
        <w:rPr>
          <w:rFonts w:ascii="Calibri" w:hAnsi="Calibri"/>
          <w:i w:val="0"/>
          <w:color w:val="111111"/>
        </w:rPr>
        <w:t>No new user role, field security profile, or business-unit access rule is requested. Existing Lead privileges and form/app access remain in effect. Qualification Score and Qualification Remarks should inherit standard Lead record access unless stakeholders approve field-level restrictions.</w:t>
      </w:r>
    </w:p>
    <w:p>
      <w:pPr>
        <w:pStyle w:val="Heading2"/>
        <w:keepNext/>
      </w:pPr>
      <w:r>
        <w:t>10.2 Integrations and Data Movement</w:t>
      </w:r>
    </w:p>
    <w:p>
      <w:pPr>
        <w:spacing w:before="0" w:after="120" w:line="264" w:lineRule="auto"/>
      </w:pPr>
      <w:r>
        <w:rPr>
          <w:rFonts w:ascii="Calibri" w:hAnsi="Calibri"/>
          <w:i w:val="0"/>
          <w:color w:val="111111"/>
        </w:rPr>
        <w:t>No external integration is in scope. The plug-in must protect the QualifyLead operation regardless of whether it is initiated from the standard user interface or another supported caller. No changes are requested to the standard transfer or creation behavior for Account, Contact, and Opportunity records.</w:t>
      </w:r>
    </w:p>
    <w:p>
      <w:pPr>
        <w:pStyle w:val="Heading2"/>
        <w:keepNext/>
      </w:pPr>
      <w:r>
        <w:t>10.3 Reporting and Notifications</w:t>
      </w:r>
    </w:p>
    <w:p>
      <w:pPr>
        <w:spacing w:before="0" w:after="120" w:line="264" w:lineRule="auto"/>
      </w:pPr>
      <w:r>
        <w:rPr>
          <w:rFonts w:ascii="Calibri" w:hAnsi="Calibri"/>
          <w:i w:val="0"/>
          <w:color w:val="111111"/>
        </w:rPr>
        <w:t>No dashboard, report, email, or Power Automate notification is requested. Qualification Score will be stored on Lead and may therefore be available to future reporting, subject to a separately approved requirement.</w:t>
      </w:r>
    </w:p>
    <w:p>
      <w:pPr>
        <w:pStyle w:val="Heading2"/>
        <w:keepNext/>
      </w:pPr>
      <w:r>
        <w:t>10.4 Audit and Compliance</w:t>
      </w:r>
    </w:p>
    <w:p>
      <w:pPr>
        <w:spacing w:before="0" w:after="120" w:line="264" w:lineRule="auto"/>
      </w:pPr>
      <w:r>
        <w:rPr>
          <w:rFonts w:ascii="Calibri" w:hAnsi="Calibri"/>
          <w:i w:val="0"/>
          <w:color w:val="111111"/>
        </w:rPr>
        <w:t>No new compliance requirement is confirmed. Whether auditing should be enabled for the two custom columns is an open governance decision. The solution shall not introduce additional personal data beyond the fields already requested.</w:t>
      </w:r>
    </w:p>
    <w:p>
      <w:pPr>
        <w:pStyle w:val="Heading1"/>
        <w:keepNext/>
      </w:pPr>
      <w:r>
        <w:t>11. Assumptions, Dependencies, Constraints, and Risks</w:t>
      </w:r>
    </w:p>
    <w:p>
      <w:pPr>
        <w:pStyle w:val="Heading2"/>
        <w:keepNext/>
      </w:pPr>
      <w:r>
        <w:t>11.1 Assumptions</w:t>
      </w:r>
    </w:p>
    <w:p>
      <w:pPr>
        <w:numPr>
          <w:ilvl w:val="0"/>
          <w:numId w:val="10"/>
        </w:numPr>
        <w:spacing w:after="160" w:line="280" w:lineRule="auto"/>
      </w:pPr>
      <w:r>
        <w:rPr>
          <w:rFonts w:ascii="Calibri" w:hAnsi="Calibri"/>
        </w:rPr>
        <w:t>The target Dynamics 365 Sales model-driven app already contains the standard Lead table, Lead Main Form, and Qualify command.</w:t>
      </w:r>
    </w:p>
    <w:p>
      <w:pPr>
        <w:numPr>
          <w:ilvl w:val="0"/>
          <w:numId w:val="10"/>
        </w:numPr>
        <w:spacing w:after="160" w:line="280" w:lineRule="auto"/>
      </w:pPr>
      <w:r>
        <w:rPr>
          <w:rFonts w:ascii="Calibri" w:hAnsi="Calibri"/>
        </w:rPr>
        <w:t>Ready for qualification means a score of 75-100 and at least one of Email or Business Phone; this interpretation requires business confirmation.</w:t>
      </w:r>
    </w:p>
    <w:p>
      <w:pPr>
        <w:numPr>
          <w:ilvl w:val="0"/>
          <w:numId w:val="10"/>
        </w:numPr>
        <w:spacing w:after="160" w:line="280" w:lineRule="auto"/>
      </w:pPr>
      <w:r>
        <w:rPr>
          <w:rFonts w:ascii="Calibri" w:hAnsi="Calibri"/>
        </w:rPr>
        <w:t>A score below 50 produces a warning but does not itself block the standard Qualify action.</w:t>
      </w:r>
    </w:p>
    <w:p>
      <w:pPr>
        <w:numPr>
          <w:ilvl w:val="0"/>
          <w:numId w:val="10"/>
        </w:numPr>
        <w:spacing w:after="160" w:line="280" w:lineRule="auto"/>
      </w:pPr>
      <w:r>
        <w:rPr>
          <w:rFonts w:ascii="Calibri" w:hAnsi="Calibri"/>
        </w:rPr>
        <w:t>Qualification Remarks is optional and manually maintained; no automatic text generation or mandatory rule is assumed.</w:t>
      </w:r>
    </w:p>
    <w:p>
      <w:pPr>
        <w:numPr>
          <w:ilvl w:val="0"/>
          <w:numId w:val="10"/>
        </w:numPr>
        <w:spacing w:after="160" w:line="280" w:lineRule="auto"/>
      </w:pPr>
      <w:r>
        <w:rPr>
          <w:rFonts w:ascii="Calibri" w:hAnsi="Calibri"/>
        </w:rPr>
        <w:t>A field is ‘available’ when its normalized form value is non-empty; whitespace-only text is treated as empty where technically applicable.</w:t>
      </w:r>
    </w:p>
    <w:p>
      <w:pPr>
        <w:numPr>
          <w:ilvl w:val="0"/>
          <w:numId w:val="10"/>
        </w:numPr>
        <w:spacing w:after="160" w:line="280" w:lineRule="auto"/>
      </w:pPr>
      <w:r>
        <w:rPr>
          <w:rFonts w:ascii="Calibri" w:hAnsi="Calibri"/>
        </w:rPr>
        <w:t>The score is stored in the custom Whole Number column and is persisted with the Lead record save cycle.</w:t>
      </w:r>
    </w:p>
    <w:p>
      <w:pPr>
        <w:pStyle w:val="Heading2"/>
        <w:keepNext/>
      </w:pPr>
      <w:r>
        <w:t>11.2 Dependencies and Constraints</w:t>
      </w:r>
    </w:p>
    <w:p>
      <w:pPr>
        <w:numPr>
          <w:ilvl w:val="0"/>
          <w:numId w:val="10"/>
        </w:numPr>
        <w:spacing w:after="160" w:line="280" w:lineRule="auto"/>
      </w:pPr>
      <w:r>
        <w:rPr>
          <w:rFonts w:ascii="Calibri" w:hAnsi="Calibri"/>
        </w:rPr>
        <w:t>A valid solution publisher and agreed custom-column logical names.</w:t>
      </w:r>
    </w:p>
    <w:p>
      <w:pPr>
        <w:numPr>
          <w:ilvl w:val="0"/>
          <w:numId w:val="10"/>
        </w:numPr>
        <w:spacing w:after="160" w:line="280" w:lineRule="auto"/>
      </w:pPr>
      <w:r>
        <w:rPr>
          <w:rFonts w:ascii="Calibri" w:hAnsi="Calibri"/>
        </w:rPr>
        <w:t>Access to edit and publish the target model-driven app, Lead Main Form, and main-form command bar.</w:t>
      </w:r>
    </w:p>
    <w:p>
      <w:pPr>
        <w:numPr>
          <w:ilvl w:val="0"/>
          <w:numId w:val="10"/>
        </w:numPr>
        <w:spacing w:after="160" w:line="280" w:lineRule="auto"/>
      </w:pPr>
      <w:r>
        <w:rPr>
          <w:rFonts w:ascii="Calibri" w:hAnsi="Calibri"/>
        </w:rPr>
        <w:t>A supported plug-in registration for the QualifyLead message/action in each target environment.</w:t>
      </w:r>
    </w:p>
    <w:p>
      <w:pPr>
        <w:numPr>
          <w:ilvl w:val="0"/>
          <w:numId w:val="10"/>
        </w:numPr>
        <w:spacing w:after="160" w:line="280" w:lineRule="auto"/>
      </w:pPr>
      <w:r>
        <w:rPr>
          <w:rFonts w:ascii="Calibri" w:hAnsi="Calibri"/>
        </w:rPr>
        <w:t>Source control, build tooling, and deployment access for the .NET plug-in assembly and JavaScript web resource.</w:t>
      </w:r>
    </w:p>
    <w:p>
      <w:pPr>
        <w:numPr>
          <w:ilvl w:val="0"/>
          <w:numId w:val="10"/>
        </w:numPr>
        <w:spacing w:after="160" w:line="280" w:lineRule="auto"/>
      </w:pPr>
      <w:r>
        <w:rPr>
          <w:rFonts w:ascii="Calibri" w:hAnsi="Calibri"/>
        </w:rPr>
        <w:t>Only two new custom columns are permitted by the stated scope; classification must therefore be derived for display rather than stored in another column.</w:t>
      </w:r>
    </w:p>
    <w:p>
      <w:pPr>
        <w:numPr>
          <w:ilvl w:val="0"/>
          <w:numId w:val="10"/>
        </w:numPr>
        <w:spacing w:after="160" w:line="280" w:lineRule="auto"/>
      </w:pPr>
      <w:r>
        <w:rPr>
          <w:rFonts w:ascii="Calibri" w:hAnsi="Calibri"/>
        </w:rPr>
        <w:t>Modern command designer support and limitations must be checked against the actual app and existing command implementation; classic tooling may be required where the target command surface is not yet migrated.</w:t>
      </w:r>
    </w:p>
    <w:p>
      <w:pPr>
        <w:pStyle w:val="Heading2"/>
        <w:keepNext/>
      </w:pPr>
      <w:r>
        <w:t>11.3 Risks and Mitigations</w:t>
      </w:r>
    </w:p>
    <w:tbl>
      <w:tblPr>
        <w:tblStyle w:val="TableGrid"/>
        <w:tblW w:type="dxa" w:w="9360"/>
        <w:jc w:val="left"/>
        <w:tblLayout w:type="fixed"/>
        <w:tblLook w:firstColumn="1" w:firstRow="1" w:lastColumn="0" w:lastRow="0" w:noHBand="0" w:noVBand="1" w:val="04A0"/>
        <w:tblInd w:w="120" w:type="dxa"/>
      </w:tblPr>
      <w:tblGrid>
        <w:gridCol w:w="2900"/>
        <w:gridCol w:w="2500"/>
        <w:gridCol w:w="3960"/>
      </w:tblGrid>
      <w:tr>
        <w:trPr>
          <w:tblHeader w:val="true"/>
        </w:trPr>
        <w:tc>
          <w:tcPr>
            <w:tcW w:type="dxa" w:w="2900"/>
            <w:shd w:fill="F2F4F7"/>
            <w:tcMar>
              <w:top w:w="80" w:type="dxa"/>
              <w:start w:w="120" w:type="dxa"/>
              <w:bottom w:w="80" w:type="dxa"/>
              <w:end w:w="120" w:type="dxa"/>
            </w:tcMar>
            <w:vAlign w:val="center"/>
          </w:tcPr>
          <w:p>
            <w:pPr>
              <w:spacing w:after="0" w:line="240" w:lineRule="auto"/>
            </w:pPr>
            <w:r>
              <w:rPr>
                <w:rFonts w:ascii="Calibri" w:hAnsi="Calibri"/>
                <w:b/>
                <w:color w:val="172B4D"/>
                <w:sz w:val="16"/>
              </w:rPr>
              <w:t>Risk</w:t>
            </w:r>
          </w:p>
        </w:tc>
        <w:tc>
          <w:tcPr>
            <w:tcW w:type="dxa" w:w="2500"/>
            <w:shd w:fill="F2F4F7"/>
            <w:tcMar>
              <w:top w:w="80" w:type="dxa"/>
              <w:start w:w="120" w:type="dxa"/>
              <w:bottom w:w="80" w:type="dxa"/>
              <w:end w:w="120" w:type="dxa"/>
            </w:tcMar>
            <w:vAlign w:val="center"/>
          </w:tcPr>
          <w:p>
            <w:pPr>
              <w:spacing w:after="0" w:line="240" w:lineRule="auto"/>
            </w:pPr>
            <w:r>
              <w:rPr>
                <w:rFonts w:ascii="Calibri" w:hAnsi="Calibri"/>
                <w:b/>
                <w:color w:val="172B4D"/>
                <w:sz w:val="16"/>
              </w:rPr>
              <w:t>Impact</w:t>
            </w:r>
          </w:p>
        </w:tc>
        <w:tc>
          <w:tcPr>
            <w:tcW w:type="dxa" w:w="3960"/>
            <w:shd w:fill="F2F4F7"/>
            <w:tcMar>
              <w:top w:w="80" w:type="dxa"/>
              <w:start w:w="120" w:type="dxa"/>
              <w:bottom w:w="80" w:type="dxa"/>
              <w:end w:w="120" w:type="dxa"/>
            </w:tcMar>
            <w:vAlign w:val="center"/>
          </w:tcPr>
          <w:p>
            <w:pPr>
              <w:spacing w:after="0" w:line="240" w:lineRule="auto"/>
            </w:pPr>
            <w:r>
              <w:rPr>
                <w:rFonts w:ascii="Calibri" w:hAnsi="Calibri"/>
                <w:b/>
                <w:color w:val="172B4D"/>
                <w:sz w:val="16"/>
              </w:rPr>
              <w:t>Mitigation</w:t>
            </w:r>
          </w:p>
        </w:tc>
      </w:tr>
      <w:tr>
        <w:trPr>
          <w:cantSplit/>
        </w:trPr>
        <w:tc>
          <w:tcPr>
            <w:tcW w:type="dxa" w:w="2900"/>
            <w:tcMar>
              <w:top w:w="80" w:type="dxa"/>
              <w:start w:w="120" w:type="dxa"/>
              <w:bottom w:w="80" w:type="dxa"/>
              <w:end w:w="120" w:type="dxa"/>
            </w:tcMar>
            <w:vAlign w:val="center"/>
          </w:tcPr>
          <w:p>
            <w:pPr>
              <w:spacing w:after="0" w:line="240" w:lineRule="auto"/>
            </w:pPr>
            <w:r>
              <w:rPr>
                <w:rFonts w:ascii="Calibri" w:hAnsi="Calibri"/>
                <w:color w:val="111111"/>
                <w:sz w:val="16"/>
              </w:rPr>
              <w:t>Readiness threshold is interpreted differently by stakeholders.</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6"/>
              </w:rPr>
              <w:t>Users receive an incorrect Ready/Not Ready result.</w:t>
            </w:r>
          </w:p>
        </w:tc>
        <w:tc>
          <w:tcPr>
            <w:tcW w:type="dxa" w:w="3960"/>
            <w:tcMar>
              <w:top w:w="80" w:type="dxa"/>
              <w:start w:w="120" w:type="dxa"/>
              <w:bottom w:w="80" w:type="dxa"/>
              <w:end w:w="120" w:type="dxa"/>
            </w:tcMar>
            <w:vAlign w:val="center"/>
          </w:tcPr>
          <w:p>
            <w:pPr>
              <w:spacing w:after="0" w:line="240" w:lineRule="auto"/>
            </w:pPr>
            <w:r>
              <w:rPr>
                <w:rFonts w:ascii="Calibri" w:hAnsi="Calibri"/>
                <w:color w:val="111111"/>
                <w:sz w:val="16"/>
              </w:rPr>
              <w:t>Confirm whether Ready starts at 50 or 75 before configuration is approved.</w:t>
            </w:r>
          </w:p>
        </w:tc>
      </w:tr>
      <w:tr>
        <w:trPr>
          <w:cantSplit/>
        </w:trPr>
        <w:tc>
          <w:tcPr>
            <w:tcW w:type="dxa" w:w="2900"/>
            <w:tcMar>
              <w:top w:w="80" w:type="dxa"/>
              <w:start w:w="120" w:type="dxa"/>
              <w:bottom w:w="80" w:type="dxa"/>
              <w:end w:w="120" w:type="dxa"/>
            </w:tcMar>
            <w:vAlign w:val="center"/>
          </w:tcPr>
          <w:p>
            <w:pPr>
              <w:spacing w:after="0" w:line="240" w:lineRule="auto"/>
            </w:pPr>
            <w:r>
              <w:rPr>
                <w:rFonts w:ascii="Calibri" w:hAnsi="Calibri"/>
                <w:color w:val="111111"/>
                <w:sz w:val="16"/>
              </w:rPr>
              <w:t>Unsaved form values differ from persisted server values when Qualify is selected.</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6"/>
              </w:rPr>
              <w:t>Client score and server decision may appear inconsistent.</w:t>
            </w:r>
          </w:p>
        </w:tc>
        <w:tc>
          <w:tcPr>
            <w:tcW w:type="dxa" w:w="3960"/>
            <w:tcMar>
              <w:top w:w="80" w:type="dxa"/>
              <w:start w:w="120" w:type="dxa"/>
              <w:bottom w:w="80" w:type="dxa"/>
              <w:end w:w="120" w:type="dxa"/>
            </w:tcMar>
            <w:vAlign w:val="center"/>
          </w:tcPr>
          <w:p>
            <w:pPr>
              <w:spacing w:after="0" w:line="240" w:lineRule="auto"/>
            </w:pPr>
            <w:r>
              <w:rPr>
                <w:rFonts w:ascii="Calibri" w:hAnsi="Calibri"/>
                <w:color w:val="111111"/>
                <w:sz w:val="16"/>
              </w:rPr>
              <w:t>Test save/qualification behavior and ensure users receive clear form validation before the server operation.</w:t>
            </w:r>
          </w:p>
        </w:tc>
      </w:tr>
      <w:tr>
        <w:trPr>
          <w:cantSplit/>
        </w:trPr>
        <w:tc>
          <w:tcPr>
            <w:tcW w:type="dxa" w:w="2900"/>
            <w:tcMar>
              <w:top w:w="80" w:type="dxa"/>
              <w:start w:w="120" w:type="dxa"/>
              <w:bottom w:w="80" w:type="dxa"/>
              <w:end w:w="120" w:type="dxa"/>
            </w:tcMar>
            <w:vAlign w:val="center"/>
          </w:tcPr>
          <w:p>
            <w:pPr>
              <w:spacing w:after="0" w:line="240" w:lineRule="auto"/>
            </w:pPr>
            <w:r>
              <w:rPr>
                <w:rFonts w:ascii="Calibri" w:hAnsi="Calibri"/>
                <w:color w:val="111111"/>
                <w:sz w:val="16"/>
              </w:rPr>
              <w:t>Client script is bypassed by API, import, or automation.</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6"/>
              </w:rPr>
              <w:t>Poor-quality Leads may reach qualification.</w:t>
            </w:r>
          </w:p>
        </w:tc>
        <w:tc>
          <w:tcPr>
            <w:tcW w:type="dxa" w:w="3960"/>
            <w:tcMar>
              <w:top w:w="80" w:type="dxa"/>
              <w:start w:w="120" w:type="dxa"/>
              <w:bottom w:w="80" w:type="dxa"/>
              <w:end w:w="120" w:type="dxa"/>
            </w:tcMar>
            <w:vAlign w:val="center"/>
          </w:tcPr>
          <w:p>
            <w:pPr>
              <w:spacing w:after="0" w:line="240" w:lineRule="auto"/>
            </w:pPr>
            <w:r>
              <w:rPr>
                <w:rFonts w:ascii="Calibri" w:hAnsi="Calibri"/>
                <w:color w:val="111111"/>
                <w:sz w:val="16"/>
              </w:rPr>
              <w:t>Keep the minimum contact rule in a synchronous server-side plug-in.</w:t>
            </w:r>
          </w:p>
        </w:tc>
      </w:tr>
      <w:tr>
        <w:trPr>
          <w:cantSplit/>
        </w:trPr>
        <w:tc>
          <w:tcPr>
            <w:tcW w:type="dxa" w:w="2900"/>
            <w:tcMar>
              <w:top w:w="80" w:type="dxa"/>
              <w:start w:w="120" w:type="dxa"/>
              <w:bottom w:w="80" w:type="dxa"/>
              <w:end w:w="120" w:type="dxa"/>
            </w:tcMar>
            <w:vAlign w:val="center"/>
          </w:tcPr>
          <w:p>
            <w:pPr>
              <w:spacing w:after="0" w:line="240" w:lineRule="auto"/>
            </w:pPr>
            <w:r>
              <w:rPr>
                <w:rFonts w:ascii="Calibri" w:hAnsi="Calibri"/>
                <w:color w:val="111111"/>
                <w:sz w:val="16"/>
              </w:rPr>
              <w:t>Existing form or command customizations conflict with new components.</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6"/>
              </w:rPr>
              <w:t>Button visibility or event behavior may regress.</w:t>
            </w:r>
          </w:p>
        </w:tc>
        <w:tc>
          <w:tcPr>
            <w:tcW w:type="dxa" w:w="3960"/>
            <w:tcMar>
              <w:top w:w="80" w:type="dxa"/>
              <w:start w:w="120" w:type="dxa"/>
              <w:bottom w:w="80" w:type="dxa"/>
              <w:end w:w="120" w:type="dxa"/>
            </w:tcMar>
            <w:vAlign w:val="center"/>
          </w:tcPr>
          <w:p>
            <w:pPr>
              <w:spacing w:after="0" w:line="240" w:lineRule="auto"/>
            </w:pPr>
            <w:r>
              <w:rPr>
                <w:rFonts w:ascii="Calibri" w:hAnsi="Calibri"/>
                <w:color w:val="111111"/>
                <w:sz w:val="16"/>
              </w:rPr>
              <w:t>Inventory solution layers and event handlers; regression-test the target app and form.</w:t>
            </w:r>
          </w:p>
        </w:tc>
      </w:tr>
      <w:tr>
        <w:trPr>
          <w:cantSplit/>
        </w:trPr>
        <w:tc>
          <w:tcPr>
            <w:tcW w:type="dxa" w:w="2900"/>
            <w:tcMar>
              <w:top w:w="80" w:type="dxa"/>
              <w:start w:w="120" w:type="dxa"/>
              <w:bottom w:w="80" w:type="dxa"/>
              <w:end w:w="120" w:type="dxa"/>
            </w:tcMar>
            <w:vAlign w:val="center"/>
          </w:tcPr>
          <w:p>
            <w:pPr>
              <w:spacing w:after="0" w:line="240" w:lineRule="auto"/>
            </w:pPr>
            <w:r>
              <w:rPr>
                <w:rFonts w:ascii="Calibri" w:hAnsi="Calibri"/>
                <w:color w:val="111111"/>
                <w:sz w:val="16"/>
              </w:rPr>
              <w:t>A plug-in step is registered at an unsuitable stage or retrieves excessive data.</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6"/>
              </w:rPr>
              <w:t>Qualification may slow down or downstream processing may begin before failure.</w:t>
            </w:r>
          </w:p>
        </w:tc>
        <w:tc>
          <w:tcPr>
            <w:tcW w:type="dxa" w:w="3960"/>
            <w:tcMar>
              <w:top w:w="80" w:type="dxa"/>
              <w:start w:w="120" w:type="dxa"/>
              <w:bottom w:w="80" w:type="dxa"/>
              <w:end w:w="120" w:type="dxa"/>
            </w:tcMar>
            <w:vAlign w:val="center"/>
          </w:tcPr>
          <w:p>
            <w:pPr>
              <w:spacing w:after="0" w:line="240" w:lineRule="auto"/>
            </w:pPr>
            <w:r>
              <w:rPr>
                <w:rFonts w:ascii="Calibri" w:hAnsi="Calibri"/>
                <w:color w:val="111111"/>
                <w:sz w:val="16"/>
              </w:rPr>
              <w:t>Use an early synchronous validation stage and retrieve only Email and Business Phone; confirm exact registration during technical design.</w:t>
            </w:r>
          </w:p>
        </w:tc>
      </w:tr>
      <w:tr>
        <w:trPr>
          <w:cantSplit/>
        </w:trPr>
        <w:tc>
          <w:tcPr>
            <w:tcW w:type="dxa" w:w="2900"/>
            <w:tcMar>
              <w:top w:w="80" w:type="dxa"/>
              <w:start w:w="120" w:type="dxa"/>
              <w:bottom w:w="80" w:type="dxa"/>
              <w:end w:w="120" w:type="dxa"/>
            </w:tcMar>
            <w:vAlign w:val="center"/>
          </w:tcPr>
          <w:p>
            <w:pPr>
              <w:spacing w:after="0" w:line="240" w:lineRule="auto"/>
            </w:pPr>
            <w:r>
              <w:rPr>
                <w:rFonts w:ascii="Calibri" w:hAnsi="Calibri"/>
                <w:color w:val="111111"/>
                <w:sz w:val="16"/>
              </w:rPr>
              <w:t>Score becomes stale on legacy or externally updated Leads.</w:t>
            </w:r>
          </w:p>
        </w:tc>
        <w:tc>
          <w:tcPr>
            <w:tcW w:type="dxa" w:w="2500"/>
            <w:tcMar>
              <w:top w:w="80" w:type="dxa"/>
              <w:start w:w="120" w:type="dxa"/>
              <w:bottom w:w="80" w:type="dxa"/>
              <w:end w:w="120" w:type="dxa"/>
            </w:tcMar>
            <w:vAlign w:val="center"/>
          </w:tcPr>
          <w:p>
            <w:pPr>
              <w:spacing w:after="0" w:line="240" w:lineRule="auto"/>
            </w:pPr>
            <w:r>
              <w:rPr>
                <w:rFonts w:ascii="Calibri" w:hAnsi="Calibri"/>
                <w:color w:val="111111"/>
                <w:sz w:val="16"/>
              </w:rPr>
              <w:t>Stored score may not match current data.</w:t>
            </w:r>
          </w:p>
        </w:tc>
        <w:tc>
          <w:tcPr>
            <w:tcW w:type="dxa" w:w="3960"/>
            <w:tcMar>
              <w:top w:w="80" w:type="dxa"/>
              <w:start w:w="120" w:type="dxa"/>
              <w:bottom w:w="80" w:type="dxa"/>
              <w:end w:w="120" w:type="dxa"/>
            </w:tcMar>
            <w:vAlign w:val="center"/>
          </w:tcPr>
          <w:p>
            <w:pPr>
              <w:spacing w:after="0" w:line="240" w:lineRule="auto"/>
            </w:pPr>
            <w:r>
              <w:rPr>
                <w:rFonts w:ascii="Calibri" w:hAnsi="Calibri"/>
                <w:color w:val="111111"/>
                <w:sz w:val="16"/>
              </w:rPr>
              <w:t>Consider an on-load refresh or server-side score synchronization as a separately approved implementation decision.</w:t>
            </w:r>
          </w:p>
        </w:tc>
      </w:tr>
    </w:tbl>
    <w:p>
      <w:pPr>
        <w:spacing w:after="40"/>
      </w:pPr>
    </w:p>
    <w:p>
      <w:pPr>
        <w:pStyle w:val="Heading1"/>
        <w:keepNext/>
      </w:pPr>
      <w:r>
        <w:t>12. Acceptance Criteria and Test Scenarios</w:t>
      </w:r>
    </w:p>
    <w:tbl>
      <w:tblPr>
        <w:tblStyle w:val="TableGrid"/>
        <w:tblW w:type="dxa" w:w="9360"/>
        <w:jc w:val="left"/>
        <w:tblLayout w:type="fixed"/>
        <w:tblLook w:firstColumn="1" w:firstRow="1" w:lastColumn="0" w:lastRow="0" w:noHBand="0" w:noVBand="1" w:val="04A0"/>
        <w:tblInd w:w="120" w:type="dxa"/>
      </w:tblPr>
      <w:tblGrid>
        <w:gridCol w:w="1000"/>
        <w:gridCol w:w="3200"/>
        <w:gridCol w:w="5160"/>
      </w:tblGrid>
      <w:tr>
        <w:trPr>
          <w:tblHeader w:val="true"/>
        </w:trPr>
        <w:tc>
          <w:tcPr>
            <w:tcW w:type="dxa" w:w="1000"/>
            <w:shd w:fill="F2F4F7"/>
            <w:tcMar>
              <w:top w:w="80" w:type="dxa"/>
              <w:start w:w="120" w:type="dxa"/>
              <w:bottom w:w="80" w:type="dxa"/>
              <w:end w:w="120" w:type="dxa"/>
            </w:tcMar>
            <w:vAlign w:val="center"/>
          </w:tcPr>
          <w:p>
            <w:pPr>
              <w:spacing w:after="0" w:line="240" w:lineRule="auto"/>
            </w:pPr>
            <w:r>
              <w:rPr>
                <w:rFonts w:ascii="Calibri" w:hAnsi="Calibri"/>
                <w:b/>
                <w:color w:val="172B4D"/>
                <w:sz w:val="17"/>
              </w:rPr>
              <w:t>ID</w:t>
            </w:r>
          </w:p>
        </w:tc>
        <w:tc>
          <w:tcPr>
            <w:tcW w:type="dxa" w:w="3200"/>
            <w:shd w:fill="F2F4F7"/>
            <w:tcMar>
              <w:top w:w="80" w:type="dxa"/>
              <w:start w:w="120" w:type="dxa"/>
              <w:bottom w:w="80" w:type="dxa"/>
              <w:end w:w="120" w:type="dxa"/>
            </w:tcMar>
            <w:vAlign w:val="center"/>
          </w:tcPr>
          <w:p>
            <w:pPr>
              <w:spacing w:after="0" w:line="240" w:lineRule="auto"/>
            </w:pPr>
            <w:r>
              <w:rPr>
                <w:rFonts w:ascii="Calibri" w:hAnsi="Calibri"/>
                <w:b/>
                <w:color w:val="172B4D"/>
                <w:sz w:val="17"/>
              </w:rPr>
              <w:t>Scenario</w:t>
            </w:r>
          </w:p>
        </w:tc>
        <w:tc>
          <w:tcPr>
            <w:tcW w:type="dxa" w:w="5160"/>
            <w:shd w:fill="F2F4F7"/>
            <w:tcMar>
              <w:top w:w="80" w:type="dxa"/>
              <w:start w:w="120" w:type="dxa"/>
              <w:bottom w:w="80" w:type="dxa"/>
              <w:end w:w="120" w:type="dxa"/>
            </w:tcMar>
            <w:vAlign w:val="center"/>
          </w:tcPr>
          <w:p>
            <w:pPr>
              <w:spacing w:after="0" w:line="240" w:lineRule="auto"/>
            </w:pPr>
            <w:r>
              <w:rPr>
                <w:rFonts w:ascii="Calibri" w:hAnsi="Calibri"/>
                <w:b/>
                <w:color w:val="172B4D"/>
                <w:sz w:val="17"/>
              </w:rPr>
              <w:t>Expected result</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AC-01</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All four scoring fields empty</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Score = 0; classification = Poor; warning shown; contact validation fails.</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AC-02</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Email only populated</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Score = 25; classification = Poor; warning shown; contact validation passes.</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AC-03</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Email and Business Phone populated</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Score = 50; classification = Warm; no below-50 warning; contact validation passes.</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AC-04</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Email, Company Name, and Lead Source populated</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Score = 75; classification = Qualified; readiness = Ready.</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AC-05</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All four scoring fields populated</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Score = 100; classification = Qualified; readiness = Ready.</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AC-06</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A scoring field is cleared after being populated</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OnChange recalculates the score and refreshes the classification/warning.</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AC-07</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Validate Lead selected</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The system recalculates, checks all four inputs, lists missing inputs, and displays classification, contact validity, and readiness.</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AC-08</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Qualify selected with Email and Business Phone empty</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Qualification is blocked and the exact required error message is displayed.</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AC-09</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Qualify selected with Email populated and Phone empty</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Standard qualification is allowed to continue, even if the overall score is below the assumed readiness threshold.</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AC-10</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Qualify selected with Phone populated and Email empty</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Standard qualification is allowed to continue.</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AC-11</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Eligible Lead qualification</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Standard Account, Contact, and Opportunity creation options and resulting behavior remain unchanged.</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AC-12</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Non-scoring standard fields changed</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Topic, First Name, Last Name, Owner, Status, and Status Reason do not add points.</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AC-13</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Qualification Remarks entered</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The value is saved on Lead without affecting score or qualification eligibility.</w:t>
            </w:r>
          </w:p>
        </w:tc>
      </w:tr>
      <w:tr>
        <w:trPr>
          <w:cantSplit/>
        </w:trPr>
        <w:tc>
          <w:tcPr>
            <w:tcW w:type="dxa" w:w="1000"/>
            <w:tcMar>
              <w:top w:w="80" w:type="dxa"/>
              <w:start w:w="120" w:type="dxa"/>
              <w:bottom w:w="80" w:type="dxa"/>
              <w:end w:w="120" w:type="dxa"/>
            </w:tcMar>
            <w:vAlign w:val="center"/>
          </w:tcPr>
          <w:p>
            <w:pPr>
              <w:spacing w:after="0" w:line="240" w:lineRule="auto"/>
            </w:pPr>
            <w:r>
              <w:rPr>
                <w:rFonts w:ascii="Calibri" w:hAnsi="Calibri"/>
                <w:color w:val="111111"/>
                <w:sz w:val="17"/>
              </w:rPr>
              <w:t>AC-14</w:t>
            </w:r>
          </w:p>
        </w:tc>
        <w:tc>
          <w:tcPr>
            <w:tcW w:type="dxa" w:w="3200"/>
            <w:tcMar>
              <w:top w:w="80" w:type="dxa"/>
              <w:start w:w="120" w:type="dxa"/>
              <w:bottom w:w="80" w:type="dxa"/>
              <w:end w:w="120" w:type="dxa"/>
            </w:tcMar>
            <w:vAlign w:val="center"/>
          </w:tcPr>
          <w:p>
            <w:pPr>
              <w:spacing w:after="0" w:line="240" w:lineRule="auto"/>
            </w:pPr>
            <w:r>
              <w:rPr>
                <w:rFonts w:ascii="Calibri" w:hAnsi="Calibri"/>
                <w:color w:val="111111"/>
                <w:sz w:val="17"/>
              </w:rPr>
              <w:t>Qualification invoked through a supported non-form channel</w:t>
            </w:r>
          </w:p>
        </w:tc>
        <w:tc>
          <w:tcPr>
            <w:tcW w:type="dxa" w:w="5160"/>
            <w:tcMar>
              <w:top w:w="80" w:type="dxa"/>
              <w:start w:w="120" w:type="dxa"/>
              <w:bottom w:w="80" w:type="dxa"/>
              <w:end w:w="120" w:type="dxa"/>
            </w:tcMar>
            <w:vAlign w:val="center"/>
          </w:tcPr>
          <w:p>
            <w:pPr>
              <w:spacing w:after="0" w:line="240" w:lineRule="auto"/>
            </w:pPr>
            <w:r>
              <w:rPr>
                <w:rFonts w:ascii="Calibri" w:hAnsi="Calibri"/>
                <w:color w:val="111111"/>
                <w:sz w:val="17"/>
              </w:rPr>
              <w:t>The server-side missing-contact rule is still applied.</w:t>
            </w:r>
          </w:p>
        </w:tc>
      </w:tr>
    </w:tbl>
    <w:p>
      <w:pPr>
        <w:spacing w:after="40"/>
      </w:pPr>
    </w:p>
    <w:p>
      <w:pPr>
        <w:pStyle w:val="Heading1"/>
        <w:keepNext/>
      </w:pPr>
      <w:r>
        <w:t>13. Open Questions</w:t>
      </w:r>
    </w:p>
    <w:p>
      <w:pPr>
        <w:numPr>
          <w:ilvl w:val="0"/>
          <w:numId w:val="11"/>
        </w:numPr>
        <w:spacing w:after="160" w:line="280" w:lineRule="auto"/>
      </w:pPr>
      <w:r>
        <w:rPr>
          <w:rFonts w:ascii="Calibri" w:hAnsi="Calibri"/>
        </w:rPr>
        <w:t>Should Ready begin at 75 (the Qualified band, assumed here) or at 50 (the point at which the low-score warning ends)?</w:t>
      </w:r>
    </w:p>
    <w:p>
      <w:pPr>
        <w:numPr>
          <w:ilvl w:val="0"/>
          <w:numId w:val="11"/>
        </w:numPr>
        <w:spacing w:after="160" w:line="280" w:lineRule="auto"/>
      </w:pPr>
      <w:r>
        <w:rPr>
          <w:rFonts w:ascii="Calibri" w:hAnsi="Calibri"/>
        </w:rPr>
        <w:t>Should Validate Lead save the recalculated score immediately, or update the form value for persistence on the next save/qualification cycle?</w:t>
      </w:r>
    </w:p>
    <w:p>
      <w:pPr>
        <w:numPr>
          <w:ilvl w:val="0"/>
          <w:numId w:val="11"/>
        </w:numPr>
        <w:spacing w:after="160" w:line="280" w:lineRule="auto"/>
      </w:pPr>
      <w:r>
        <w:rPr>
          <w:rFonts w:ascii="Calibri" w:hAnsi="Calibri"/>
        </w:rPr>
        <w:t>Should the score also recalculate on form load and for Leads changed through imports, APIs, or automation, or is interactive form calculation sufficient?</w:t>
      </w:r>
    </w:p>
    <w:p>
      <w:pPr>
        <w:numPr>
          <w:ilvl w:val="0"/>
          <w:numId w:val="11"/>
        </w:numPr>
        <w:spacing w:after="160" w:line="280" w:lineRule="auto"/>
      </w:pPr>
      <w:r>
        <w:rPr>
          <w:rFonts w:ascii="Calibri" w:hAnsi="Calibri"/>
        </w:rPr>
        <w:t>What exact notification style and placement is preferred for low-score warnings and Validate Lead results: form notification, dialog, or both?</w:t>
      </w:r>
    </w:p>
    <w:p>
      <w:pPr>
        <w:numPr>
          <w:ilvl w:val="0"/>
          <w:numId w:val="11"/>
        </w:numPr>
        <w:spacing w:after="160" w:line="280" w:lineRule="auto"/>
      </w:pPr>
      <w:r>
        <w:rPr>
          <w:rFonts w:ascii="Calibri" w:hAnsi="Calibri"/>
        </w:rPr>
        <w:t>Where on the existing Lead Main Form should Qualification Score and Qualification Remarks appear?</w:t>
      </w:r>
    </w:p>
    <w:p>
      <w:pPr>
        <w:numPr>
          <w:ilvl w:val="0"/>
          <w:numId w:val="11"/>
        </w:numPr>
        <w:spacing w:after="160" w:line="280" w:lineRule="auto"/>
      </w:pPr>
      <w:r>
        <w:rPr>
          <w:rFonts w:ascii="Calibri" w:hAnsi="Calibri"/>
        </w:rPr>
        <w:t>Should Qualification Remarks remain optional, or become required for Poor/Warm Leads or before qualification?</w:t>
      </w:r>
    </w:p>
    <w:p>
      <w:pPr>
        <w:numPr>
          <w:ilvl w:val="0"/>
          <w:numId w:val="11"/>
        </w:numPr>
        <w:spacing w:after="160" w:line="280" w:lineRule="auto"/>
      </w:pPr>
      <w:r>
        <w:rPr>
          <w:rFonts w:ascii="Calibri" w:hAnsi="Calibri"/>
        </w:rPr>
        <w:t>Which model-driven app(s), environments, supported browsers, and mobile experiences are in scope for deployment and testing?</w:t>
      </w:r>
    </w:p>
    <w:p>
      <w:pPr>
        <w:numPr>
          <w:ilvl w:val="0"/>
          <w:numId w:val="11"/>
        </w:numPr>
        <w:spacing w:after="160" w:line="280" w:lineRule="auto"/>
      </w:pPr>
      <w:r>
        <w:rPr>
          <w:rFonts w:ascii="Calibri" w:hAnsi="Calibri"/>
        </w:rPr>
        <w:t>Should auditing be enabled for Qualification Score and Qualification Remarks?</w:t>
      </w:r>
    </w:p>
    <w:p>
      <w:pPr>
        <w:numPr>
          <w:ilvl w:val="0"/>
          <w:numId w:val="11"/>
        </w:numPr>
        <w:spacing w:after="160" w:line="280" w:lineRule="auto"/>
      </w:pPr>
      <w:r>
        <w:rPr>
          <w:rFonts w:ascii="Calibri" w:hAnsi="Calibri"/>
        </w:rPr>
        <w:t>Are there existing Lead form scripts, business rules, command customizations, or plug-ins that must be reconciled?</w:t>
      </w:r>
    </w:p>
    <w:p>
      <w:pPr>
        <w:pStyle w:val="Heading1"/>
        <w:keepNext/>
      </w:pPr>
      <w:r>
        <w:t>14. Recommended Implementation Notes</w:t>
      </w:r>
    </w:p>
    <w:p>
      <w:pPr>
        <w:numPr>
          <w:ilvl w:val="0"/>
          <w:numId w:val="10"/>
        </w:numPr>
        <w:spacing w:after="160" w:line="280" w:lineRule="auto"/>
      </w:pPr>
      <w:r>
        <w:rPr>
          <w:rFonts w:ascii="Calibri" w:hAnsi="Calibri"/>
        </w:rPr>
        <w:t>Use one namespaced JavaScript web resource with a shared calculation function called by all four OnChange handlers and the Validate Lead command. This avoids scoring drift.</w:t>
      </w:r>
    </w:p>
    <w:p>
      <w:pPr>
        <w:numPr>
          <w:ilvl w:val="0"/>
          <w:numId w:val="10"/>
        </w:numPr>
        <w:spacing w:after="160" w:line="280" w:lineRule="auto"/>
      </w:pPr>
      <w:r>
        <w:rPr>
          <w:rFonts w:ascii="Calibri" w:hAnsi="Calibri"/>
        </w:rPr>
        <w:t>Use supported model-driven app client APIs to read attributes, update Qualification Score, and show/clear form notifications. Pass PrimaryControl/form context to the command function.</w:t>
      </w:r>
    </w:p>
    <w:p>
      <w:pPr>
        <w:numPr>
          <w:ilvl w:val="0"/>
          <w:numId w:val="10"/>
        </w:numPr>
        <w:spacing w:after="160" w:line="280" w:lineRule="auto"/>
      </w:pPr>
      <w:r>
        <w:rPr>
          <w:rFonts w:ascii="Calibri" w:hAnsi="Calibri"/>
        </w:rPr>
        <w:t>Treat the command as advisory and the plug-in as authoritative. Client logic can be bypassed; the server rule cannot rely on the form.</w:t>
      </w:r>
    </w:p>
    <w:p>
      <w:pPr>
        <w:numPr>
          <w:ilvl w:val="0"/>
          <w:numId w:val="10"/>
        </w:numPr>
        <w:spacing w:after="160" w:line="280" w:lineRule="auto"/>
      </w:pPr>
      <w:r>
        <w:rPr>
          <w:rFonts w:ascii="Calibri" w:hAnsi="Calibri"/>
        </w:rPr>
        <w:t>Register a synchronous validation step for the QualifyLead operation at the earliest supported stage that can safely reject the request before downstream creation. Retrieve only the Lead’s Email and Business Phone and throw the exact business message on failure.</w:t>
      </w:r>
    </w:p>
    <w:p>
      <w:pPr>
        <w:numPr>
          <w:ilvl w:val="0"/>
          <w:numId w:val="10"/>
        </w:numPr>
        <w:spacing w:after="160" w:line="280" w:lineRule="auto"/>
      </w:pPr>
      <w:r>
        <w:rPr>
          <w:rFonts w:ascii="Calibri" w:hAnsi="Calibri"/>
        </w:rPr>
        <w:t>Package the columns, form changes, web resource, event handlers, command, plug-in assembly, and registration step in the agreed solution and validate solution layering before release.</w:t>
      </w:r>
    </w:p>
    <w:p>
      <w:pPr>
        <w:numPr>
          <w:ilvl w:val="0"/>
          <w:numId w:val="10"/>
        </w:numPr>
        <w:spacing w:after="160" w:line="280" w:lineRule="auto"/>
      </w:pPr>
      <w:r>
        <w:rPr>
          <w:rFonts w:ascii="Calibri" w:hAnsi="Calibri"/>
        </w:rPr>
        <w:t>Complete unit, integration, UAT, security, and regression testing, with particular attention to existing qualification options and downstream Account, Contact, and Opportunity creation.</w:t>
      </w:r>
    </w:p>
    <w:p>
      <w:pPr>
        <w:pStyle w:val="Heading1"/>
        <w:keepNext/>
      </w:pPr>
      <w:r>
        <w:t>15. Product-Fit Notes and References</w:t>
      </w:r>
    </w:p>
    <w:p>
      <w:pPr>
        <w:spacing w:before="0" w:after="120" w:line="264" w:lineRule="auto"/>
      </w:pPr>
      <w:r>
        <w:rPr>
          <w:rFonts w:ascii="Calibri" w:hAnsi="Calibri"/>
          <w:i w:val="0"/>
          <w:color w:val="111111"/>
        </w:rPr>
        <w:t>Microsoft documentation confirms that modern command designer supports main-form commands and JavaScript actions. It also notes that some pre-existing classic or out-of-the-box commands may not be editable until migrated, so the target app’s command surface must be checked during design. Microsoft also documents QualifyLeadRequest as the operation used to qualify a Lead and create linked Account, Contact, and Opportunity records.</w:t>
      </w:r>
    </w:p>
    <w:p>
      <w:pPr>
        <w:numPr>
          <w:ilvl w:val="0"/>
          <w:numId w:val="10"/>
        </w:numPr>
        <w:spacing w:after="120"/>
      </w:pPr>
      <w:hyperlink r:id="rId12">
        <w:r>
          <w:rPr>
            <w:color w:val="2E74B5"/>
            <w:u w:val="single"/>
          </w:rPr>
          <w:t>Customize the command bar using command designer</w:t>
        </w:r>
      </w:hyperlink>
    </w:p>
    <w:p>
      <w:pPr>
        <w:numPr>
          <w:ilvl w:val="0"/>
          <w:numId w:val="10"/>
        </w:numPr>
        <w:spacing w:after="120"/>
      </w:pPr>
      <w:hyperlink r:id="rId13">
        <w:r>
          <w:rPr>
            <w:color w:val="2E74B5"/>
            <w:u w:val="single"/>
          </w:rPr>
          <w:t>Command designer overview</w:t>
        </w:r>
      </w:hyperlink>
    </w:p>
    <w:p>
      <w:pPr>
        <w:numPr>
          <w:ilvl w:val="0"/>
          <w:numId w:val="10"/>
        </w:numPr>
        <w:spacing w:after="120"/>
      </w:pPr>
      <w:hyperlink r:id="rId14">
        <w:r>
          <w:rPr>
            <w:color w:val="2E74B5"/>
            <w:u w:val="single"/>
          </w:rPr>
          <w:t>Command bar customization limitations</w:t>
        </w:r>
      </w:hyperlink>
    </w:p>
    <w:p>
      <w:pPr>
        <w:numPr>
          <w:ilvl w:val="0"/>
          <w:numId w:val="10"/>
        </w:numPr>
        <w:spacing w:after="120"/>
      </w:pPr>
      <w:hyperlink r:id="rId15">
        <w:r>
          <w:rPr>
            <w:color w:val="2E74B5"/>
            <w:u w:val="single"/>
          </w:rPr>
          <w:t>QualifyLeadRequest class</w:t>
        </w:r>
      </w:hyperlink>
    </w:p>
    <w:p>
      <w:pPr>
        <w:pStyle w:val="Heading1"/>
        <w:keepNext/>
      </w:pPr>
      <w:r>
        <w:t>16. Approval Readiness</w:t>
      </w:r>
    </w:p>
    <w:p>
      <w:pPr>
        <w:spacing w:before="0" w:after="120" w:line="264" w:lineRule="auto"/>
      </w:pPr>
      <w:r>
        <w:rPr>
          <w:rFonts w:ascii="Calibri" w:hAnsi="Calibri"/>
          <w:i w:val="0"/>
          <w:color w:val="111111"/>
        </w:rPr>
        <w:t>This BRD is ready for business and delivery review. Approval should be conditional on resolving the readiness threshold and persistence behavior in Section 13. No estimate, delivery date, or implementation approval is asserted by this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6200"/>
      <w:gridCol w:w="3160"/>
    </w:tblGrid>
    <w:tr>
      <w:tc>
        <w:tcPr>
          <w:tcW w:type="dxa" w:w="6200"/>
          <w:tcMar>
            <w:top w:w="80" w:type="dxa"/>
            <w:start w:w="120" w:type="dxa"/>
            <w:bottom w:w="80" w:type="dxa"/>
            <w:end w:w="120" w:type="dxa"/>
          </w:tcMar>
          <w:vAlign w:val="center"/>
        </w:tcPr>
        <w:p>
          <w:pPr>
            <w:spacing w:after="0"/>
          </w:pPr>
          <w:r>
            <w:rPr>
              <w:rFonts w:ascii="Calibri" w:hAnsi="Calibri"/>
              <w:color w:val="5B6573"/>
              <w:sz w:val="17"/>
            </w:rPr>
            <w:t>Lead Qualification Validation Enhancement  |  Version 1.0</w:t>
          </w:r>
        </w:p>
      </w:tc>
      <w:tc>
        <w:tcPr>
          <w:tcW w:type="dxa" w:w="3160"/>
          <w:tcMar>
            <w:top w:w="80" w:type="dxa"/>
            <w:start w:w="120" w:type="dxa"/>
            <w:bottom w:w="80" w:type="dxa"/>
            <w:end w:w="120" w:type="dxa"/>
          </w:tcMar>
          <w:vAlign w:val="center"/>
        </w:tcPr>
        <w:p>
          <w:pPr>
            <w:spacing w:after="0"/>
            <w:jc w:val="right"/>
          </w:pPr>
          <w:r>
            <w:rPr>
              <w:rFonts w:ascii="Calibri" w:hAnsi="Calibri"/>
              <w:color w:val="5B6573"/>
              <w:sz w:val="18"/>
            </w:rPr>
            <w:t xml:space="preserve">Page </w:t>
          </w:r>
          <w:r>
            <w:rPr>
              <w:rFonts w:ascii="Calibri" w:hAnsi="Calibri"/>
              <w:color w:val="5B6573"/>
              <w:sz w:val="18"/>
            </w:rPr>
            <w:fldChar w:fldCharType="begin"/>
            <w:instrText xml:space="preserve">PAGE</w:instrText>
            <w:fldChar w:fldCharType="separate"/>
            <w:t>1</w:t>
            <w:fldChar w:fldCharType="end"/>
          </w:r>
          <w:r>
            <w:rPr>
              <w:rFonts w:ascii="Calibri" w:hAnsi="Calibri"/>
              <w:color w:val="5B6573"/>
              <w:sz w:val="18"/>
            </w:rPr>
            <w:t xml:space="preserve"> of </w:t>
          </w:r>
          <w:r>
            <w:rPr>
              <w:rFonts w:ascii="Calibri" w:hAnsi="Calibri"/>
              <w:color w:val="5B6573"/>
              <w:sz w:val="18"/>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BUSINESS REQUIREMENTS DOCUMENT  |  DYNAMICS 365 SALES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learn.microsoft.com/en-us/power-apps/maker/model-driven-apps/use-command-designer" TargetMode="External"/><Relationship Id="rId13" Type="http://schemas.openxmlformats.org/officeDocument/2006/relationships/hyperlink" Target="https://learn.microsoft.com/en-us/power-apps/maker/model-driven-apps/command-designer-overview" TargetMode="External"/><Relationship Id="rId14" Type="http://schemas.openxmlformats.org/officeDocument/2006/relationships/hyperlink" Target="https://learn.microsoft.com/en-us/power-apps/maker/model-driven-apps/command-designer-limitations" TargetMode="External"/><Relationship Id="rId15" Type="http://schemas.openxmlformats.org/officeDocument/2006/relationships/hyperlink" Target="https://learn.microsoft.com/en-us/dotnet/api/microsoft.crm.sdk.messages.qualifyleadrequest?view=dataverse-sdk-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Dynamics 365 Lead Qualification Validation Enhancement - BRD</dc:title>
  <dc:subject>Business requirements for Lead qualification scoring, validation, and server-side enforcement</dc:subject>
  <dc:creator>BRD Design</dc:creator>
  <cp:keywords>Dynamics 365, Lead, Qualification, Dataverse, JavaScript, Plugin, BRD</cp:keywords>
  <dc:description>Prepared from confirmed requirements supplied on 26 August 2026.</dc:description>
  <cp:lastModifiedBy/>
  <cp:revision>1</cp:revision>
  <dcterms:created xsi:type="dcterms:W3CDTF">2013-12-23T23:15:00Z</dcterms:created>
  <dcterms:modified xsi:type="dcterms:W3CDTF">2013-12-23T23:15:00Z</dcterms:modified>
  <cp:category/>
</cp:coreProperties>
</file>