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Candidatas bajo ciberataque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La violencia política contra las mujeres también se libra en las redes sociales. Rumbo al Congreso, candidatas de Bogotá, Antioquia y Cauca fueron blanco de ataques sexualizantes, discursos misóginos y amenazas digitales. Esta alianza investigativa, integrada por ColombiaCheck, Vorágine y Voces Francas, identificó al menos 790 publicaciones en X y 2.900 comentarios en Instagram y Facebook dirigidos a expulsarlas del espacio público y a deslegitimar su participación política por razones de género.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Los casos de Laura Beltrán —conocida como Lalis—, congresista electa por el Pacto Histórico atacada por su apariencia física; Catherine Juvinao, representante por la Alianza Verde, objeto de agresiones sexualizantes; y Camila Ospina, excandidata por el partido Creemos, amenazada de secuestro, demuestran que la violencia digital no distingue partido ni ideología política.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Más de la mitad de las publicaciones analizados corresponden a ataques por razón de  género. En la mayoría de los casos, el debate sobre las candidatas se desplaza hacia sus cuerpos: convertidos en objeto de deseo sexual o de burla, con el propósito de generar un ambiente hostil que desaliente a las mujeres de participar en política.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Esta investigación tomó como punto de partida el trabajo previo de la Fundación Karisma, que identificó las palabras clave con las que suelen atacarse a las candidatas en el país y estableció las categorías de análisis de violencias de género utilizadas aquí. A partir de ello, la alianza desenredó el ecosistema del ataque: identificó a los usuarios más activos en las agresiones y rastreó cómo estas se amplifican a través de cuentas de propaganda política, perfiles que disfrazan la violencia con humor e incluso encontró, cuentas desinformadoras reincidentes que recurren a los ataques sexualizantes.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Al cierre de este reportaje, Meta y X no habían respondido las consultas realizadas para esta investigación, sobre sus políticas de moderación frente a este tipo de contenidos, pese a que Colombia cuenta desde el 2 de abril de 2025 con la Ley 2453 de Violencia Política contra las Mujeres, que reconoce expresamente la violencia digital como una de sus manifestaciones. </w:t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87f3VT0SkS6BtM1QYCk6kwTUFw==">CgMxLjA4AHIhMWRDYk1tenhrWVEyQnNsX2JzOFBkREdhd0hYZ2U3bTlt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