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0D3D2B"/>
          <w:sz w:val="56"/>
          <w:szCs w:val="56"/>
        </w:rPr>
        <w:t xml:space="preserve">AgriSmart</w:t>
      </w:r>
    </w:p>
    <w:p>
      <w:pPr>
        <w:spacing w:after="400"/>
      </w:pPr>
      <w:r>
        <w:rPr>
          <w:b/>
          <w:bCs/>
          <w:color w:val="146D48"/>
          <w:spacing w:val="20"/>
          <w:sz w:val="24"/>
          <w:szCs w:val="24"/>
        </w:rPr>
        <w:t xml:space="preserve">SMART FARMING. BETTER FUTURE.</w:t>
      </w:r>
    </w:p>
    <w:p>
      <w:pPr>
        <w:spacing w:after="100"/>
      </w:pPr>
      <w:r>
        <w:rPr>
          <w:b/>
          <w:bCs/>
          <w:color w:val="0D3D2B"/>
          <w:sz w:val="30"/>
          <w:szCs w:val="30"/>
        </w:rPr>
        <w:t xml:space="preserve">Investor Pitch Companion</w:t>
      </w:r>
    </w:p>
    <w:p>
      <w:pPr>
        <w:spacing w:after="160"/>
      </w:pPr>
      <w:r>
        <w:rPr>
          <w:i w:val="false"/>
          <w:iCs w:val="false"/>
          <w:color w:val="111111"/>
          <w:sz w:val="22"/>
          <w:szCs w:val="22"/>
        </w:rPr>
        <w:t xml:space="preserve">Pitch scripts, investor Q&amp;A, the live demo walkthrough, the visual asset checklist for the deck, and a verified-facts-vs-proposed-concepts ledger — all built to accompany AgriSmart_Investor_Pitch_Deck.pptx.</w:t>
      </w:r>
    </w:p>
    <w:p>
      <w:pPr>
        <w:spacing w:after="200"/>
      </w:pPr>
      <w:r>
        <w:rPr>
          <w:i/>
          <w:iCs/>
          <w:color w:val="5B6B63"/>
          <w:sz w:val="20"/>
          <w:szCs w:val="20"/>
        </w:rPr>
        <w:t xml:space="preserve">Updated with the real AgriSmart logo (extracted brand colors: green ~#1EA667, dark teal ~#085A63) and the real contact email, agrismart.global@gmail.com, on the deck's cover, headers, and final slide. Title and closing slides now use a "Cyber-Agri" dark-mode treatment — a near-black background (#0A0A0A), the transparent logo icon blended directly into the layer with subtle glowing telemetry lines, and a neon accent palette (cyan #00E5FF for tech/telemetry elements, mint #00E676 for AI/diagnostics elements) in place of the earlier solid-green title slides.</w:t>
      </w:r>
    </w:p>
    <w:p>
      <w:r>
        <w:br w:type="page"/>
      </w:r>
    </w:p>
    <w:p>
      <w:pPr>
        <w:pStyle w:val="Heading1"/>
        <w:spacing w:after="200" w:before="400"/>
      </w:pPr>
      <w:r>
        <w:rPr>
          <w:b/>
          <w:bCs/>
          <w:color w:val="0D3D2B"/>
          <w:sz w:val="32"/>
          <w:szCs w:val="32"/>
        </w:rPr>
        <w:t xml:space="preserve">1. Five-Minute Investor Pitch Script</w:t>
      </w:r>
    </w:p>
    <w:p>
      <w:pPr>
        <w:pStyle w:val="Heading3"/>
        <w:spacing w:after="100" w:before="200"/>
      </w:pPr>
      <w:r>
        <w:rPr>
          <w:b/>
          <w:bCs/>
          <w:color w:val="0D3D2B"/>
          <w:sz w:val="22"/>
          <w:szCs w:val="22"/>
        </w:rPr>
        <w:t xml:space="preserve">Slide 1 — Hook (20s)</w:t>
      </w:r>
    </w:p>
    <w:p>
      <w:pPr>
        <w:spacing w:after="160"/>
      </w:pPr>
      <w:r>
        <w:rPr>
          <w:i w:val="false"/>
          <w:iCs w:val="false"/>
          <w:color w:val="111111"/>
          <w:sz w:val="22"/>
          <w:szCs w:val="22"/>
        </w:rPr>
        <w:t xml:space="preserve">"Every drop of water should have a reason." Right now, most irrigation decisions on small and mid-sized farms are made from memory, habit, or a quick look at the topsoil — not from what's actually happening at the root zone. We're AgriSmart, and we built a closed-loop system that senses the soil, decides when water is actually needed, and acts on that decision automatically.</w:t>
      </w:r>
    </w:p>
    <w:p>
      <w:pPr>
        <w:pStyle w:val="Heading3"/>
        <w:spacing w:after="100" w:before="200"/>
      </w:pPr>
      <w:r>
        <w:rPr>
          <w:b/>
          <w:bCs/>
          <w:color w:val="0D3D2B"/>
          <w:sz w:val="22"/>
          <w:szCs w:val="22"/>
        </w:rPr>
        <w:t xml:space="preserve">Slide 2 — Problem (35s)</w:t>
      </w:r>
    </w:p>
    <w:p>
      <w:pPr>
        <w:spacing w:after="160"/>
      </w:pPr>
      <w:r>
        <w:rPr>
          <w:i w:val="false"/>
          <w:iCs w:val="false"/>
          <w:color w:val="111111"/>
          <w:sz w:val="22"/>
          <w:szCs w:val="22"/>
        </w:rPr>
        <w:t xml:space="preserve">Four things are true today. Water is a finite, shrinking resource — agriculture can't keep treating it as infinite. Irrigation decisions are guesswork — fixed schedules or gut feel, not root-zone data. The soil itself is invisible — there's no continuous view of moisture, temperature, or salinity below the surface. And the agri-tech that does exist is built and priced for large industrial operations, leaving small and mid-sized farms out.</w:t>
      </w:r>
    </w:p>
    <w:p>
      <w:pPr>
        <w:pStyle w:val="Heading3"/>
        <w:spacing w:after="100" w:before="200"/>
      </w:pPr>
      <w:r>
        <w:rPr>
          <w:b/>
          <w:bCs/>
          <w:color w:val="0D3D2B"/>
          <w:sz w:val="22"/>
          <w:szCs w:val="22"/>
        </w:rPr>
        <w:t xml:space="preserve">Slide 3 — Opportunity (35s)</w:t>
      </w:r>
    </w:p>
    <w:p>
      <w:pPr>
        <w:spacing w:after="160"/>
      </w:pPr>
      <w:r>
        <w:rPr>
          <w:i w:val="false"/>
          <w:iCs w:val="false"/>
          <w:color w:val="111111"/>
          <w:sz w:val="22"/>
          <w:szCs w:val="22"/>
        </w:rPr>
        <w:t xml:space="preserve">Agriculture accounts for seventy percent of global freshwater withdrawals — that's FAO data, the single largest use of fresh water on Earth. ⏸ At the same time, four trends have converged: water scarcity is rising, IoT hardware has finally gotten cheap enough to reach small farms, agriculture is digitizing, and AI is turning accumulated field data into real foresight — but only once that data actually exists.</w:t>
      </w:r>
    </w:p>
    <w:p>
      <w:pPr>
        <w:pStyle w:val="Heading3"/>
        <w:spacing w:after="100" w:before="200"/>
      </w:pPr>
      <w:r>
        <w:rPr>
          <w:b/>
          <w:bCs/>
          <w:color w:val="0D3D2B"/>
          <w:sz w:val="22"/>
          <w:szCs w:val="22"/>
        </w:rPr>
        <w:t xml:space="preserve">Slide 4 — Aha Moment (45s)</w:t>
      </w:r>
    </w:p>
    <w:p>
      <w:pPr>
        <w:spacing w:after="160"/>
      </w:pPr>
      <w:r>
        <w:rPr>
          <w:i w:val="false"/>
          <w:iCs w:val="false"/>
          <w:color w:val="111111"/>
          <w:sz w:val="22"/>
          <w:szCs w:val="22"/>
        </w:rPr>
        <w:t xml:space="preserve">Here's the core idea. AgriSmart is a closed loop, not a sensor. Soil, to sensors, to an ESP32 device, to our cloud backend, to a decision engine, to a command, to the valve and pump, back to new telemetry that verifies the result. ⏸ We call this Measure, Understand, Decide, Act, Verify — and it repeats continuously. Most "smart" irrigation products stop at "measure." We close the loop all the way through verification.</w:t>
      </w:r>
    </w:p>
    <w:p>
      <w:pPr>
        <w:pStyle w:val="Heading3"/>
        <w:spacing w:after="100" w:before="200"/>
      </w:pPr>
      <w:r>
        <w:rPr>
          <w:b/>
          <w:bCs/>
          <w:color w:val="0D3D2B"/>
          <w:sz w:val="22"/>
          <w:szCs w:val="22"/>
        </w:rPr>
        <w:t xml:space="preserve">Slide 5 — Product (35s)</w:t>
      </w:r>
    </w:p>
    <w:p>
      <w:pPr>
        <w:spacing w:after="160"/>
      </w:pPr>
      <w:r>
        <w:rPr>
          <w:i w:val="false"/>
          <w:iCs w:val="false"/>
          <w:color w:val="111111"/>
          <w:sz w:val="22"/>
          <w:szCs w:val="22"/>
        </w:rPr>
        <w:t xml:space="preserve">Physically, this is one weatherproof field unit: an ESP32 controller, capacitive soil moisture and temperature sensors, an EC/salinity sensor, and a MOSFET-driven valve and pump — all specified and designed today. To be direct: this is our designed hardware architecture. Physical assembly is our near-term build milestone, and I'll show you exactly how we're proving the same logic today.</w:t>
      </w:r>
    </w:p>
    <w:p>
      <w:pPr>
        <w:pStyle w:val="Heading3"/>
        <w:spacing w:after="100" w:before="200"/>
      </w:pPr>
      <w:r>
        <w:rPr>
          <w:b/>
          <w:bCs/>
          <w:color w:val="0D3D2B"/>
          <w:sz w:val="22"/>
          <w:szCs w:val="22"/>
        </w:rPr>
        <w:t xml:space="preserve">Slide 6 — The App (30s)</w:t>
      </w:r>
    </w:p>
    <w:p>
      <w:pPr>
        <w:spacing w:after="160"/>
      </w:pPr>
      <w:r>
        <w:rPr>
          <w:i w:val="false"/>
          <w:iCs w:val="false"/>
          <w:color w:val="111111"/>
          <w:sz w:val="22"/>
          <w:szCs w:val="22"/>
        </w:rPr>
        <w:t xml:space="preserve">On the software side, the dashboard is real and built — farm overview, live device details, manual and automatic irrigation control, historical telemetry analytics, and an alerts feed. This is the actual structure of what we've shipped.</w:t>
      </w:r>
    </w:p>
    <w:p>
      <w:pPr>
        <w:pStyle w:val="Heading3"/>
        <w:spacing w:after="100" w:before="200"/>
      </w:pPr>
      <w:r>
        <w:rPr>
          <w:b/>
          <w:bCs/>
          <w:color w:val="0D3D2B"/>
          <w:sz w:val="22"/>
          <w:szCs w:val="22"/>
        </w:rPr>
        <w:t xml:space="preserve">Slide 7 — One Farm, One Day (40s)</w:t>
      </w:r>
    </w:p>
    <w:p>
      <w:pPr>
        <w:spacing w:after="160"/>
      </w:pPr>
      <w:r>
        <w:rPr>
          <w:i w:val="false"/>
          <w:iCs w:val="false"/>
          <w:color w:val="111111"/>
          <w:sz w:val="22"/>
          <w:szCs w:val="22"/>
        </w:rPr>
        <w:t xml:space="preserve">Walk through a single night. Six p.m., moisture reads healthy after the day's peak heat. Through the evening the soil cools. By four a.m. — deliberately the pre-dawn window, before the sun and heat that would evaporate surface water — moisture crosses the configured threshold. The decision engine checks that against safety rules — a maximum run duration and a daily water allowance — and issues a bounded command. The valve opens, water reaches the root zone before sunrise, and minutes later new telemetry confirms the moisture actually responded. The farmer sees all of it on the dashboard. This schedule reflects an Egyptian irrigation pattern — watering overnight, never at midday, to minimize evaporation loss.</w:t>
      </w:r>
    </w:p>
    <w:p>
      <w:pPr>
        <w:pStyle w:val="Heading3"/>
        <w:spacing w:after="100" w:before="200"/>
      </w:pPr>
      <w:r>
        <w:rPr>
          <w:b/>
          <w:bCs/>
          <w:color w:val="0D3D2B"/>
          <w:sz w:val="22"/>
          <w:szCs w:val="22"/>
        </w:rPr>
        <w:t xml:space="preserve">Slide 8 — Why Different (30s)</w:t>
      </w:r>
    </w:p>
    <w:p>
      <w:pPr>
        <w:spacing w:after="160"/>
      </w:pPr>
      <w:r>
        <w:rPr>
          <w:i w:val="false"/>
          <w:iCs w:val="false"/>
          <w:color w:val="111111"/>
          <w:sz w:val="22"/>
          <w:szCs w:val="22"/>
        </w:rPr>
        <w:t xml:space="preserve">Compare that to manual observation, fixed schedules, or sensor-only monitoring — each does part of the loop. Manual guesses at decide and act with no sensing. Fixed schedules act blind. Sensor-only monitoring senses but never decides or acts. We're the only one that senses, decides, acts, verifies, and builds a history that a future AI layer can learn from.</w:t>
      </w:r>
    </w:p>
    <w:p>
      <w:pPr>
        <w:pStyle w:val="Heading3"/>
        <w:spacing w:after="100" w:before="200"/>
      </w:pPr>
      <w:r>
        <w:rPr>
          <w:b/>
          <w:bCs/>
          <w:color w:val="0D3D2B"/>
          <w:sz w:val="22"/>
          <w:szCs w:val="22"/>
        </w:rPr>
        <w:t xml:space="preserve">Slide 9 — Data Flywheel (30s)</w:t>
      </w:r>
    </w:p>
    <w:p>
      <w:pPr>
        <w:spacing w:after="160"/>
      </w:pPr>
      <w:r>
        <w:rPr>
          <w:i w:val="false"/>
          <w:iCs w:val="false"/>
          <w:color w:val="111111"/>
          <w:sz w:val="22"/>
          <w:szCs w:val="22"/>
        </w:rPr>
        <w:t xml:space="preserve">This is the moat, and I want to be precise about it: it's not "ChatGPT for agriculture." It's that every additional farm generates sensor and irrigation history, which builds farm-specific context, which makes future recommendations better, which improves outcomes, which drives adoption — and the loop restarts. The data itself, tied to real field devices and irrigation history, is the defensible asset.</w:t>
      </w:r>
    </w:p>
    <w:p>
      <w:pPr>
        <w:pStyle w:val="Heading3"/>
        <w:spacing w:after="100" w:before="200"/>
      </w:pPr>
      <w:r>
        <w:rPr>
          <w:b/>
          <w:bCs/>
          <w:color w:val="0D3D2B"/>
          <w:sz w:val="22"/>
          <w:szCs w:val="22"/>
        </w:rPr>
        <w:t xml:space="preserve">Slide 10 — Business Model (20s)</w:t>
      </w:r>
    </w:p>
    <w:p>
      <w:pPr>
        <w:spacing w:after="160"/>
      </w:pPr>
      <w:r>
        <w:rPr>
          <w:i w:val="false"/>
          <w:iCs w:val="false"/>
          <w:color w:val="111111"/>
          <w:sz w:val="22"/>
          <w:szCs w:val="22"/>
        </w:rPr>
        <w:t xml:space="preserve">The business model is proposed, not live revenue today: a shared-node hardware layer built to keep smallholder entry cost low, a recurring software subscription per farm or zone, a future high-margin intelligence add-on, and a high-ticket enterprise tier built around export-compliance reporting for cooperatives and exporters.</w:t>
      </w:r>
    </w:p>
    <w:p>
      <w:pPr>
        <w:pStyle w:val="Heading3"/>
        <w:spacing w:after="100" w:before="200"/>
      </w:pPr>
      <w:r>
        <w:rPr>
          <w:b/>
          <w:bCs/>
          <w:color w:val="0D3D2B"/>
          <w:sz w:val="22"/>
          <w:szCs w:val="22"/>
        </w:rPr>
        <w:t xml:space="preserve">Slide 11 — Go-To-Market (25s)</w:t>
      </w:r>
    </w:p>
    <w:p>
      <w:pPr>
        <w:spacing w:after="160"/>
      </w:pPr>
      <w:r>
        <w:rPr>
          <w:i w:val="false"/>
          <w:iCs w:val="false"/>
          <w:color w:val="111111"/>
          <w:sz w:val="22"/>
          <w:szCs w:val="22"/>
        </w:rPr>
        <w:t xml:space="preserve">We start narrow — hand-picked pilot farms in strategic hubs like Wadi El Natrun and the Cairo-Alex Desert Road — then SME farm penetration across the Delta, multi-zone and multi-farm management, B2B agri-exporters and cooperatives, and finally regional expansion into neighboring MENA markets. Smart irrigation is the wedge. Farm intelligence is the destination.</w:t>
      </w:r>
    </w:p>
    <w:p>
      <w:pPr>
        <w:pStyle w:val="Heading3"/>
        <w:spacing w:after="100" w:before="200"/>
      </w:pPr>
      <w:r>
        <w:rPr>
          <w:b/>
          <w:bCs/>
          <w:color w:val="0D3D2B"/>
          <w:sz w:val="22"/>
          <w:szCs w:val="22"/>
        </w:rPr>
        <w:t xml:space="preserve">Slide 12 — Roadmap (20s)</w:t>
      </w:r>
    </w:p>
    <w:p>
      <w:pPr>
        <w:spacing w:after="160"/>
      </w:pPr>
      <w:r>
        <w:rPr>
          <w:i w:val="false"/>
          <w:iCs w:val="false"/>
          <w:color w:val="111111"/>
          <w:sz w:val="22"/>
          <w:szCs w:val="22"/>
        </w:rPr>
        <w:t xml:space="preserve">Completed, Q1–Q2: MVP built, device simulator, full dashboard, telemetry and irrigation engine, automated tests — all verified in the codebase today. Upcoming, Q3: physical prototype and ESP32 field build, sensor integration, valve/pump control, and our first real pilot farm deployment — this is the honest next milestone, not something already finished. Scale, Q4: commercial SME rollout and export cooperative onboarding. Vision, next year and beyond: a multi-farm intelligence network.</w:t>
      </w:r>
    </w:p>
    <w:p>
      <w:pPr>
        <w:pStyle w:val="Heading3"/>
        <w:spacing w:after="100" w:before="200"/>
      </w:pPr>
      <w:r>
        <w:rPr>
          <w:b/>
          <w:bCs/>
          <w:color w:val="0D3D2B"/>
          <w:sz w:val="22"/>
          <w:szCs w:val="22"/>
        </w:rPr>
        <w:t xml:space="preserve">Slide 13 — Vision (20s)</w:t>
      </w:r>
    </w:p>
    <w:p>
      <w:pPr>
        <w:spacing w:after="160"/>
      </w:pPr>
      <w:r>
        <w:rPr>
          <w:i w:val="false"/>
          <w:iCs w:val="false"/>
          <w:color w:val="111111"/>
          <w:sz w:val="22"/>
          <w:szCs w:val="22"/>
        </w:rPr>
        <w:t xml:space="preserve">AgriSmart starts with irrigation. The destination is a comprehensive agricultural intelligence platform — a soil analytics engine, precision irrigation AI, crop health monitoring, predictive weather telemetry, real-time anomaly detection, full-stack farm analytics, and eventually a GenAI agronomist assistant, all built on the same closed-loop foundation.</w:t>
      </w:r>
    </w:p>
    <w:p>
      <w:pPr>
        <w:pStyle w:val="Heading3"/>
        <w:spacing w:after="100" w:before="200"/>
      </w:pPr>
      <w:r>
        <w:rPr>
          <w:b/>
          <w:bCs/>
          <w:color w:val="0D3D2B"/>
          <w:sz w:val="22"/>
          <w:szCs w:val="22"/>
        </w:rPr>
        <w:t xml:space="preserve">Slide 14 — Why Now (20s)</w:t>
      </w:r>
    </w:p>
    <w:p>
      <w:pPr>
        <w:spacing w:after="160"/>
      </w:pPr>
      <w:r>
        <w:rPr>
          <w:i w:val="false"/>
          <w:iCs w:val="false"/>
          <w:color w:val="111111"/>
          <w:sz w:val="22"/>
          <w:szCs w:val="22"/>
        </w:rPr>
        <w:t xml:space="preserve">A live regional water dispute has put irrigation efficiency on Egypt's national agenda, government policy is already pushing modern irrigation and traceability, farmers' input costs are rising as energy subsidies phase out, and a booming, record agricultural export sector increasingly needs to demonstrate responsible water stewardship. The timing is not incidental.</w:t>
      </w:r>
    </w:p>
    <w:p>
      <w:pPr>
        <w:pStyle w:val="Heading3"/>
        <w:spacing w:after="100" w:before="200"/>
      </w:pPr>
      <w:r>
        <w:rPr>
          <w:b/>
          <w:bCs/>
          <w:color w:val="0D3D2B"/>
          <w:sz w:val="22"/>
          <w:szCs w:val="22"/>
        </w:rPr>
        <w:t xml:space="preserve">Slide 15 — Ask (25s)</w:t>
      </w:r>
    </w:p>
    <w:p>
      <w:pPr>
        <w:spacing w:after="160"/>
      </w:pPr>
      <w:r>
        <w:rPr>
          <w:i w:val="false"/>
          <w:iCs w:val="false"/>
          <w:color w:val="111111"/>
          <w:sz w:val="22"/>
          <w:szCs w:val="22"/>
        </w:rPr>
        <w:t xml:space="preserve">We're looking for commercial pilot partners ready to run live field trials, strategic industry alliances with agricultural suppliers and distributors, technical and manufacturing synergies for hardware and firmware, and pre-seed capital to scale production and our commercial team. That's AgriSmart — smart farming, better future.</w:t>
      </w:r>
    </w:p>
    <w:p>
      <w:r>
        <w:br w:type="page"/>
      </w:r>
    </w:p>
    <w:p>
      <w:pPr>
        <w:pStyle w:val="Heading1"/>
        <w:spacing w:after="200" w:before="400"/>
      </w:pPr>
      <w:r>
        <w:rPr>
          <w:b/>
          <w:bCs/>
          <w:color w:val="0D3D2B"/>
          <w:sz w:val="32"/>
          <w:szCs w:val="32"/>
        </w:rPr>
        <w:t xml:space="preserve">2. Ten-Minute Extended Pitch Script</w:t>
      </w:r>
    </w:p>
    <w:p>
      <w:pPr>
        <w:pStyle w:val="Heading3"/>
        <w:spacing w:after="100" w:before="200"/>
      </w:pPr>
      <w:r>
        <w:rPr>
          <w:b/>
          <w:bCs/>
          <w:color w:val="0D3D2B"/>
          <w:sz w:val="22"/>
          <w:szCs w:val="22"/>
        </w:rPr>
        <w:t xml:space="preserve">After Slide 2 (Problem) — add ~40s</w:t>
      </w:r>
    </w:p>
    <w:p>
      <w:pPr>
        <w:spacing w:after="160"/>
      </w:pPr>
      <w:r>
        <w:rPr>
          <w:i w:val="false"/>
          <w:iCs w:val="false"/>
          <w:color w:val="111111"/>
          <w:sz w:val="22"/>
          <w:szCs w:val="22"/>
        </w:rPr>
        <w:t xml:space="preserve">Add a concrete texture point: "Talk to almost any small-farm operator and the irrigation decision comes down to 'it looked dry' or 'it's Tuesday.' Neither of those is wrong exactly — they're just not information. The soil at six inches down can be a completely different story than the surface, and nobody's watching that."</w:t>
      </w:r>
    </w:p>
    <w:p>
      <w:pPr>
        <w:pStyle w:val="Heading3"/>
        <w:spacing w:after="100" w:before="200"/>
      </w:pPr>
      <w:r>
        <w:rPr>
          <w:b/>
          <w:bCs/>
          <w:color w:val="0D3D2B"/>
          <w:sz w:val="22"/>
          <w:szCs w:val="22"/>
        </w:rPr>
        <w:t xml:space="preserve">After Slide 4 (Aha Moment) — add ~60s</w:t>
      </w:r>
    </w:p>
    <w:p>
      <w:pPr>
        <w:spacing w:after="160"/>
      </w:pPr>
      <w:r>
        <w:rPr>
          <w:i w:val="false"/>
          <w:iCs w:val="false"/>
          <w:color w:val="111111"/>
          <w:sz w:val="22"/>
          <w:szCs w:val="22"/>
        </w:rPr>
        <w:t xml:space="preserve">Go deeper on why the loop matters: "The reason we insist on closing the loop through Verify is that an open loop — sense, then act — has no way to know if the action worked. A stuck valve, a dead pump, a clogged emitter — all invisible to a system that doesn't check. Our new telemetry after every action is what makes this a control system instead of a scheduler with sensors bolted on. And architecturally, every module — auth, telemetry, devices, farms, irrigation, commands, safety rules, idempotency, logging — is already built as a real backend service, not a prototype script."</w:t>
      </w:r>
    </w:p>
    <w:p>
      <w:pPr>
        <w:pStyle w:val="Heading3"/>
        <w:spacing w:after="100" w:before="200"/>
      </w:pPr>
      <w:r>
        <w:rPr>
          <w:b/>
          <w:bCs/>
          <w:color w:val="0D3D2B"/>
          <w:sz w:val="22"/>
          <w:szCs w:val="22"/>
        </w:rPr>
        <w:t xml:space="preserve">After Slide 5 (Hardware) — add ~45s</w:t>
      </w:r>
    </w:p>
    <w:p>
      <w:pPr>
        <w:spacing w:after="160"/>
      </w:pPr>
      <w:r>
        <w:rPr>
          <w:i w:val="false"/>
          <w:iCs w:val="false"/>
          <w:color w:val="111111"/>
          <w:sz w:val="22"/>
          <w:szCs w:val="22"/>
        </w:rPr>
        <w:t xml:space="preserve">Explain the honest state of the hardware and the simulator bridge: "Because the physical enclosure is still our near-term build milestone, today's MVP proves this exact backend flow using a software device simulator that speaks the identical protocol a real ESP32 will use — same authentication, same telemetry schema, same command interface. That matters because it means our software stack doesn't need to be rebuilt when the physical hardware ships; it needs a device that emits the same messages, and that de-risks the transition from simulation to field pilot considerably."</w:t>
      </w:r>
    </w:p>
    <w:p>
      <w:pPr>
        <w:pStyle w:val="Heading3"/>
        <w:spacing w:after="100" w:before="200"/>
      </w:pPr>
      <w:r>
        <w:rPr>
          <w:b/>
          <w:bCs/>
          <w:color w:val="0D3D2B"/>
          <w:sz w:val="22"/>
          <w:szCs w:val="22"/>
        </w:rPr>
        <w:t xml:space="preserve">After Slide 7 (One Farm, One Day) — add ~45s</w:t>
      </w:r>
    </w:p>
    <w:p>
      <w:pPr>
        <w:spacing w:after="160"/>
      </w:pPr>
      <w:r>
        <w:rPr>
          <w:i w:val="false"/>
          <w:iCs w:val="false"/>
          <w:color w:val="111111"/>
          <w:sz w:val="22"/>
          <w:szCs w:val="22"/>
        </w:rPr>
        <w:t xml:space="preserve">Mention the safety design explicitly: "Every automatic action is bounded — a configured maximum irrigation duration and a daily water allowance are enforced by the decision engine before any valve opens, so a bug or a bad reading can't run a pump indefinitely or drain a tank. This is a decision we made early, because in agricultural hardware, safety limits aren't optional polish, they're the reason a farmer would ever trust an automatic system near their water supply."</w:t>
      </w:r>
    </w:p>
    <w:p>
      <w:pPr>
        <w:pStyle w:val="Heading3"/>
        <w:spacing w:after="100" w:before="200"/>
      </w:pPr>
      <w:r>
        <w:rPr>
          <w:b/>
          <w:bCs/>
          <w:color w:val="0D3D2B"/>
          <w:sz w:val="22"/>
          <w:szCs w:val="22"/>
        </w:rPr>
        <w:t xml:space="preserve">After Slide 9 (Data Flywheel) — add ~50s</w:t>
      </w:r>
    </w:p>
    <w:p>
      <w:pPr>
        <w:spacing w:after="160"/>
      </w:pPr>
      <w:r>
        <w:rPr>
          <w:i w:val="false"/>
          <w:iCs w:val="false"/>
          <w:color w:val="111111"/>
          <w:sz w:val="22"/>
          <w:szCs w:val="22"/>
        </w:rPr>
        <w:t xml:space="preserve">Address the AI question head-on before anyone asks it: "I want to be explicit that AI is a future layer, not a claim we're making today. We are not an AI company wrapping agriculture — we're a data and control company that is building the substrate an AI layer would eventually need: structured, timestamped, farm-specific sensor and action history. Without that foundation, an AI recommendation engine is guessing. With it, it has something real to learn from. That ordering — infrastructure first, intelligence second — is deliberate."</w:t>
      </w:r>
    </w:p>
    <w:p>
      <w:pPr>
        <w:pStyle w:val="Heading3"/>
        <w:spacing w:after="100" w:before="200"/>
      </w:pPr>
      <w:r>
        <w:rPr>
          <w:b/>
          <w:bCs/>
          <w:color w:val="0D3D2B"/>
          <w:sz w:val="22"/>
          <w:szCs w:val="22"/>
        </w:rPr>
        <w:t xml:space="preserve">After Slide 10 (Business Model) — add ~30s</w:t>
      </w:r>
    </w:p>
    <w:p>
      <w:pPr>
        <w:spacing w:after="160"/>
      </w:pPr>
      <w:r>
        <w:rPr>
          <w:i w:val="false"/>
          <w:iCs w:val="false"/>
          <w:color w:val="111111"/>
          <w:sz w:val="22"/>
          <w:szCs w:val="22"/>
        </w:rPr>
        <w:t xml:space="preserve">Clarify current revenue state plainly: "To be clear, none of this is active revenue today — no customers, no signed pilots, no revenue to report yet, and no validated pricing or savings figures. This is the proposed structure we'd build toward, laid out because investors should see the shape of the business, not because we're claiming traction or numbers we don't have."</w:t>
      </w:r>
    </w:p>
    <w:p>
      <w:pPr>
        <w:pStyle w:val="Heading3"/>
        <w:spacing w:after="100" w:before="200"/>
      </w:pPr>
      <w:r>
        <w:rPr>
          <w:b/>
          <w:bCs/>
          <w:color w:val="0D3D2B"/>
          <w:sz w:val="22"/>
          <w:szCs w:val="22"/>
        </w:rPr>
        <w:t xml:space="preserve">After Slide 12 (Roadmap) — add ~30s</w:t>
      </w:r>
    </w:p>
    <w:p>
      <w:pPr>
        <w:spacing w:after="160"/>
      </w:pPr>
      <w:r>
        <w:rPr>
          <w:i w:val="false"/>
          <w:iCs w:val="false"/>
          <w:color w:val="111111"/>
          <w:sz w:val="22"/>
          <w:szCs w:val="22"/>
        </w:rPr>
        <w:t xml:space="preserve">Give a sense of sequencing logic: "We deliberately built the full software stack — auth, telemetry, devices, farms, irrigation logic, safety rules, dashboard — before the physical hardware, because the backend and decision engine are the harder, riskier engineering problem, and the physical build is a comparatively well-understood integration task once the logic is proven. I want to be precise here: physical assembly and sensor/valve integration sit in our Upcoming column, not Completed — nothing about the physical unit is claimed as finished today."</w:t>
      </w:r>
    </w:p>
    <w:p>
      <w:pPr>
        <w:pStyle w:val="Heading3"/>
        <w:spacing w:after="100" w:before="200"/>
      </w:pPr>
      <w:r>
        <w:rPr>
          <w:b/>
          <w:bCs/>
          <w:color w:val="0D3D2B"/>
          <w:sz w:val="22"/>
          <w:szCs w:val="22"/>
        </w:rPr>
        <w:t xml:space="preserve">Before Slide 15 (Ask) — add ~30s</w:t>
      </w:r>
    </w:p>
    <w:p>
      <w:pPr>
        <w:spacing w:after="160"/>
      </w:pPr>
      <w:r>
        <w:rPr>
          <w:i w:val="false"/>
          <w:iCs w:val="false"/>
          <w:color w:val="111111"/>
          <w:sz w:val="22"/>
          <w:szCs w:val="22"/>
        </w:rPr>
        <w:t xml:space="preserve">Bridge into the ask: "Everything I've shown you is either built and verified today, or an explicit, labeled next step — nothing in between. That's the state we're raising from."</w:t>
      </w:r>
    </w:p>
    <w:p>
      <w:r>
        <w:br w:type="page"/>
      </w:r>
    </w:p>
    <w:p>
      <w:pPr>
        <w:pStyle w:val="Heading1"/>
        <w:spacing w:after="200" w:before="400"/>
      </w:pPr>
      <w:r>
        <w:rPr>
          <w:b/>
          <w:bCs/>
          <w:color w:val="0D3D2B"/>
          <w:sz w:val="32"/>
          <w:szCs w:val="32"/>
        </w:rPr>
        <w:t xml:space="preserve">3. Likely Investor Questions &amp; Answers</w:t>
      </w:r>
    </w:p>
    <w:p>
      <w:pPr>
        <w:spacing w:after="80" w:before="200"/>
      </w:pPr>
      <w:r>
        <w:rPr>
          <w:b/>
          <w:bCs/>
          <w:color w:val="00E5FF"/>
          <w:sz w:val="22"/>
          <w:szCs w:val="22"/>
        </w:rPr>
        <w:t xml:space="preserve">Q: </w:t>
      </w:r>
      <w:r>
        <w:rPr>
          <w:b/>
          <w:bCs/>
          <w:sz w:val="22"/>
          <w:szCs w:val="22"/>
        </w:rPr>
        <w:t xml:space="preserve">Do you have any paying customers or signed pilots today?</w:t>
      </w:r>
    </w:p>
    <w:p>
      <w:pPr>
        <w:spacing w:after="120"/>
      </w:pPr>
      <w:r>
        <w:rPr>
          <w:b/>
          <w:bCs/>
          <w:color w:val="146D48"/>
          <w:sz w:val="22"/>
          <w:szCs w:val="22"/>
        </w:rPr>
        <w:t xml:space="preserve">A: </w:t>
      </w:r>
      <w:r>
        <w:rPr>
          <w:sz w:val="22"/>
          <w:szCs w:val="22"/>
        </w:rPr>
        <w:t xml:space="preserve">No. We have no customers, no signed pilots, and no revenue today. What we have is a complete, tested MVP software stack and a working device simulator that proves the end-to-end backend flow. The business model slide is explicitly labeled proposed/future for that reason.</w:t>
      </w:r>
    </w:p>
    <w:p>
      <w:pPr>
        <w:spacing w:after="80" w:before="200"/>
      </w:pPr>
      <w:r>
        <w:rPr>
          <w:b/>
          <w:bCs/>
          <w:color w:val="00E5FF"/>
          <w:sz w:val="22"/>
          <w:szCs w:val="22"/>
        </w:rPr>
        <w:t xml:space="preserve">Q: </w:t>
      </w:r>
      <w:r>
        <w:rPr>
          <w:b/>
          <w:bCs/>
          <w:sz w:val="22"/>
          <w:szCs w:val="22"/>
        </w:rPr>
        <w:t xml:space="preserve">Is the hardware real, or is this just software?</w:t>
      </w:r>
    </w:p>
    <w:p>
      <w:pPr>
        <w:spacing w:after="120"/>
      </w:pPr>
      <w:r>
        <w:rPr>
          <w:b/>
          <w:bCs/>
          <w:color w:val="146D48"/>
          <w:sz w:val="22"/>
          <w:szCs w:val="22"/>
        </w:rPr>
        <w:t xml:space="preserve">A: </w:t>
      </w:r>
      <w:r>
        <w:rPr>
          <w:sz w:val="22"/>
          <w:szCs w:val="22"/>
        </w:rPr>
        <w:t xml:space="preserve">The hardware is designed, not yet physically assembled — the bill of materials and control architecture (ESP32, soil/temperature/EC sensors, MOSFET-driven valve and pump, buck converter, IP65/66 enclosure) are fully specified. What is real and running today is the software: the backend, the decision engine, the dashboard, and a software device simulator that speaks the exact same protocol a physical ESP32 device will use. Physical assembly is our next build milestone.</w:t>
      </w:r>
    </w:p>
    <w:p>
      <w:pPr>
        <w:spacing w:after="80" w:before="200"/>
      </w:pPr>
      <w:r>
        <w:rPr>
          <w:b/>
          <w:bCs/>
          <w:color w:val="00E5FF"/>
          <w:sz w:val="22"/>
          <w:szCs w:val="22"/>
        </w:rPr>
        <w:t xml:space="preserve">Q: </w:t>
      </w:r>
      <w:r>
        <w:rPr>
          <w:b/>
          <w:bCs/>
          <w:sz w:val="22"/>
          <w:szCs w:val="22"/>
        </w:rPr>
        <w:t xml:space="preserve">How much water does this actually save?</w:t>
      </w:r>
    </w:p>
    <w:p>
      <w:pPr>
        <w:spacing w:after="120"/>
      </w:pPr>
      <w:r>
        <w:rPr>
          <w:b/>
          <w:bCs/>
          <w:color w:val="146D48"/>
          <w:sz w:val="22"/>
          <w:szCs w:val="22"/>
        </w:rPr>
        <w:t xml:space="preserve">A: </w:t>
      </w:r>
      <w:r>
        <w:rPr>
          <w:sz w:val="22"/>
          <w:szCs w:val="22"/>
        </w:rPr>
        <w:t xml:space="preserve">We don't have a measured water-savings number, and we're not going to state one we haven't verified. The only external statistic in this deck — that agriculture accounts for 70% of global freshwater withdrawals — comes from the FAO and describes the scale of the problem, not a result we've produced.</w:t>
      </w:r>
    </w:p>
    <w:p>
      <w:pPr>
        <w:spacing w:after="80" w:before="200"/>
      </w:pPr>
      <w:r>
        <w:rPr>
          <w:b/>
          <w:bCs/>
          <w:color w:val="00E5FF"/>
          <w:sz w:val="22"/>
          <w:szCs w:val="22"/>
        </w:rPr>
        <w:t xml:space="preserve">Q: </w:t>
      </w:r>
      <w:r>
        <w:rPr>
          <w:b/>
          <w:bCs/>
          <w:sz w:val="22"/>
          <w:szCs w:val="22"/>
        </w:rPr>
        <w:t xml:space="preserve">What's your moat? Anyone can build a soil sensor.</w:t>
      </w:r>
    </w:p>
    <w:p>
      <w:pPr>
        <w:spacing w:after="120"/>
      </w:pPr>
      <w:r>
        <w:rPr>
          <w:b/>
          <w:bCs/>
          <w:color w:val="146D48"/>
          <w:sz w:val="22"/>
          <w:szCs w:val="22"/>
        </w:rPr>
        <w:t xml:space="preserve">A: </w:t>
      </w:r>
      <w:r>
        <w:rPr>
          <w:sz w:val="22"/>
          <w:szCs w:val="22"/>
        </w:rPr>
        <w:t xml:space="preserve">Correct — a soil sensor alone is not a moat. The moat is the closed loop plus the accumulating farm-specific data: sensor history, irrigation history, farm context, and verified outcomes, tied to real field devices over time. That combination is what a system built later, without that history, can't replicate quickly. It compounds with every additional farm and every additional season.</w:t>
      </w:r>
    </w:p>
    <w:p>
      <w:pPr>
        <w:spacing w:after="80" w:before="200"/>
      </w:pPr>
      <w:r>
        <w:rPr>
          <w:b/>
          <w:bCs/>
          <w:color w:val="00E5FF"/>
          <w:sz w:val="22"/>
          <w:szCs w:val="22"/>
        </w:rPr>
        <w:t xml:space="preserve">Q: </w:t>
      </w:r>
      <w:r>
        <w:rPr>
          <w:b/>
          <w:bCs/>
          <w:sz w:val="22"/>
          <w:szCs w:val="22"/>
        </w:rPr>
        <w:t xml:space="preserve">Is this an AI product?</w:t>
      </w:r>
    </w:p>
    <w:p>
      <w:pPr>
        <w:spacing w:after="120"/>
      </w:pPr>
      <w:r>
        <w:rPr>
          <w:b/>
          <w:bCs/>
          <w:color w:val="146D48"/>
          <w:sz w:val="22"/>
          <w:szCs w:val="22"/>
        </w:rPr>
        <w:t xml:space="preserve">A: </w:t>
      </w:r>
      <w:r>
        <w:rPr>
          <w:sz w:val="22"/>
          <w:szCs w:val="22"/>
        </w:rPr>
        <w:t xml:space="preserve">Not today, and we're deliberately not positioning it as one. AI is an explicit future layer in our roadmap, not a current feature. We're building the data and control infrastructure first — structured sensor and action history — because that's what a future AI recommendation layer would actually need to be useful, rather than leading with an AI claim that has nothing real underneath it yet.</w:t>
      </w:r>
    </w:p>
    <w:p>
      <w:pPr>
        <w:spacing w:after="80" w:before="200"/>
      </w:pPr>
      <w:r>
        <w:rPr>
          <w:b/>
          <w:bCs/>
          <w:color w:val="00E5FF"/>
          <w:sz w:val="22"/>
          <w:szCs w:val="22"/>
        </w:rPr>
        <w:t xml:space="preserve">Q: </w:t>
      </w:r>
      <w:r>
        <w:rPr>
          <w:b/>
          <w:bCs/>
          <w:sz w:val="22"/>
          <w:szCs w:val="22"/>
        </w:rPr>
        <w:t xml:space="preserve">What happens if a sensor fails or a valve gets stuck?</w:t>
      </w:r>
    </w:p>
    <w:p>
      <w:pPr>
        <w:spacing w:after="120"/>
      </w:pPr>
      <w:r>
        <w:rPr>
          <w:b/>
          <w:bCs/>
          <w:color w:val="146D48"/>
          <w:sz w:val="22"/>
          <w:szCs w:val="22"/>
        </w:rPr>
        <w:t xml:space="preserve">A: </w:t>
      </w:r>
      <w:r>
        <w:rPr>
          <w:sz w:val="22"/>
          <w:szCs w:val="22"/>
        </w:rPr>
        <w:t xml:space="preserve">Every automatic irrigation command is bounded by a configured maximum duration and a daily water allowance enforced by the decision engine, so a fault can't run a pump indefinitely. The new-telemetry verification step after every action is also how the system would eventually detect that an action didn't produce the expected result — flagging it rather than silently continuing.</w:t>
      </w:r>
    </w:p>
    <w:p>
      <w:pPr>
        <w:spacing w:after="80" w:before="200"/>
      </w:pPr>
      <w:r>
        <w:rPr>
          <w:b/>
          <w:bCs/>
          <w:color w:val="00E5FF"/>
          <w:sz w:val="22"/>
          <w:szCs w:val="22"/>
        </w:rPr>
        <w:t xml:space="preserve">Q: </w:t>
      </w:r>
      <w:r>
        <w:rPr>
          <w:b/>
          <w:bCs/>
          <w:sz w:val="22"/>
          <w:szCs w:val="22"/>
        </w:rPr>
        <w:t xml:space="preserve">Why would a small farm trust automated control of their water and pump?</w:t>
      </w:r>
    </w:p>
    <w:p>
      <w:pPr>
        <w:spacing w:after="120"/>
      </w:pPr>
      <w:r>
        <w:rPr>
          <w:b/>
          <w:bCs/>
          <w:color w:val="146D48"/>
          <w:sz w:val="22"/>
          <w:szCs w:val="22"/>
        </w:rPr>
        <w:t xml:space="preserve">A: </w:t>
      </w:r>
      <w:r>
        <w:rPr>
          <w:sz w:val="22"/>
          <w:szCs w:val="22"/>
        </w:rPr>
        <w:t xml:space="preserve">That trust has to be earned through bounded, auditable behavior, which is why safety limits and full telemetry logging were built into the decision engine from the start rather than added later. We'd also expect early pilot farms to run in a manual-control or alert-only mode before any autonomous valve control, so trust is built incrementally, not assumed.</w:t>
      </w:r>
    </w:p>
    <w:p>
      <w:pPr>
        <w:spacing w:after="80" w:before="200"/>
      </w:pPr>
      <w:r>
        <w:rPr>
          <w:b/>
          <w:bCs/>
          <w:color w:val="00E5FF"/>
          <w:sz w:val="22"/>
          <w:szCs w:val="22"/>
        </w:rPr>
        <w:t xml:space="preserve">Q: </w:t>
      </w:r>
      <w:r>
        <w:rPr>
          <w:b/>
          <w:bCs/>
          <w:sz w:val="22"/>
          <w:szCs w:val="22"/>
        </w:rPr>
        <w:t xml:space="preserve">What's the total addressable market?</w:t>
      </w:r>
    </w:p>
    <w:p>
      <w:pPr>
        <w:spacing w:after="120"/>
      </w:pPr>
      <w:r>
        <w:rPr>
          <w:b/>
          <w:bCs/>
          <w:color w:val="146D48"/>
          <w:sz w:val="22"/>
          <w:szCs w:val="22"/>
        </w:rPr>
        <w:t xml:space="preserve">A: </w:t>
      </w:r>
      <w:r>
        <w:rPr>
          <w:sz w:val="22"/>
          <w:szCs w:val="22"/>
        </w:rPr>
        <w:t xml:space="preserve">We haven't built a bottom-up TAM model for this deck, and rather than presenting an unverified market-sizing number, we've anchored the opportunity slide on the one figure we can source directly: agriculture's 70% share of global freshwater withdrawals (FAO). A rigorous TAM analysis is on our list to develop with the specific regions and farm segments we target first.</w:t>
      </w:r>
    </w:p>
    <w:p>
      <w:pPr>
        <w:spacing w:after="80" w:before="200"/>
      </w:pPr>
      <w:r>
        <w:rPr>
          <w:b/>
          <w:bCs/>
          <w:color w:val="00E5FF"/>
          <w:sz w:val="22"/>
          <w:szCs w:val="22"/>
        </w:rPr>
        <w:t xml:space="preserve">Q: </w:t>
      </w:r>
      <w:r>
        <w:rPr>
          <w:b/>
          <w:bCs/>
          <w:sz w:val="22"/>
          <w:szCs w:val="22"/>
        </w:rPr>
        <w:t xml:space="preserve">How do you compete with large agri-tech players?</w:t>
      </w:r>
    </w:p>
    <w:p>
      <w:pPr>
        <w:spacing w:after="120"/>
      </w:pPr>
      <w:r>
        <w:rPr>
          <w:b/>
          <w:bCs/>
          <w:color w:val="146D48"/>
          <w:sz w:val="22"/>
          <w:szCs w:val="22"/>
        </w:rPr>
        <w:t xml:space="preserve">A: </w:t>
      </w:r>
      <w:r>
        <w:rPr>
          <w:sz w:val="22"/>
          <w:szCs w:val="22"/>
        </w:rPr>
        <w:t xml:space="preserve">Large enterprise agri-tech is generally built and priced for large industrial operations. Our go-to-market starts intentionally narrow — pilot farms, then small and mid-sized farmer deployments — a segment that's underserved by systems designed for scale first. We're not trying to out-enterprise the enterprise players; we're starting where they're not focused.</w:t>
      </w:r>
    </w:p>
    <w:p>
      <w:pPr>
        <w:spacing w:after="80" w:before="200"/>
      </w:pPr>
      <w:r>
        <w:rPr>
          <w:b/>
          <w:bCs/>
          <w:color w:val="00E5FF"/>
          <w:sz w:val="22"/>
          <w:szCs w:val="22"/>
        </w:rPr>
        <w:t xml:space="preserve">Q: </w:t>
      </w:r>
      <w:r>
        <w:rPr>
          <w:b/>
          <w:bCs/>
          <w:sz w:val="22"/>
          <w:szCs w:val="22"/>
        </w:rPr>
        <w:t xml:space="preserve">What exactly are you asking for?</w:t>
      </w:r>
    </w:p>
    <w:p>
      <w:pPr>
        <w:spacing w:after="120"/>
      </w:pPr>
      <w:r>
        <w:rPr>
          <w:b/>
          <w:bCs/>
          <w:color w:val="146D48"/>
          <w:sz w:val="22"/>
          <w:szCs w:val="22"/>
        </w:rPr>
        <w:t xml:space="preserve">A: </w:t>
      </w:r>
      <w:r>
        <w:rPr>
          <w:sz w:val="22"/>
          <w:szCs w:val="22"/>
        </w:rPr>
        <w:t xml:space="preserve">Pilot partners willing to run a field trial, strategic agricultural partners, technical partners in hardware/firmware/manufacturing, and investment to fund the path from MVP to field pilots to a scalable product — laid out on the final slide.</w:t>
      </w:r>
    </w:p>
    <w:p>
      <w:r>
        <w:br w:type="page"/>
      </w:r>
    </w:p>
    <w:p>
      <w:pPr>
        <w:pStyle w:val="Heading1"/>
        <w:spacing w:after="200" w:before="400"/>
      </w:pPr>
      <w:r>
        <w:rPr>
          <w:b/>
          <w:bCs/>
          <w:color w:val="0D3D2B"/>
          <w:sz w:val="32"/>
          <w:szCs w:val="32"/>
        </w:rPr>
        <w:t xml:space="preserve">4. The Live Demo Moment</w:t>
      </w:r>
    </w:p>
    <w:p>
      <w:pPr>
        <w:pStyle w:val="Heading3"/>
        <w:spacing w:after="100" w:before="200"/>
      </w:pPr>
      <w:r>
        <w:rPr>
          <w:b/>
          <w:bCs/>
          <w:color w:val="0D3D2B"/>
          <w:sz w:val="22"/>
          <w:szCs w:val="22"/>
        </w:rPr>
        <w:t xml:space="preserve">Setup (before the room)</w:t>
      </w:r>
    </w:p>
    <w:p>
      <w:pPr>
        <w:pStyle w:val="ListParagraph"/>
        <w:numPr>
          <w:ilvl w:val="0"/>
          <w:numId w:val="1"/>
        </w:numPr>
        <w:spacing w:after="100"/>
      </w:pPr>
      <w:r>
        <w:rPr>
          <w:b w:val="false"/>
          <w:bCs w:val="false"/>
          <w:sz w:val="22"/>
          <w:szCs w:val="22"/>
        </w:rPr>
        <w:t xml:space="preserve">Dashboard open on a screen, on the Device Details or Farm Overview view, showing a device with moisture currently reading above the irrigation threshold.</w:t>
      </w:r>
    </w:p>
    <w:p>
      <w:pPr>
        <w:pStyle w:val="ListParagraph"/>
        <w:numPr>
          <w:ilvl w:val="0"/>
          <w:numId w:val="1"/>
        </w:numPr>
        <w:spacing w:after="100"/>
      </w:pPr>
      <w:r>
        <w:rPr>
          <w:b w:val="false"/>
          <w:bCs w:val="false"/>
          <w:sz w:val="22"/>
          <w:szCs w:val="22"/>
        </w:rPr>
        <w:t xml:space="preserve">The software device simulator running in a visible terminal or second window — clearly labeled as the simulator, not hidden.</w:t>
      </w:r>
    </w:p>
    <w:p>
      <w:pPr>
        <w:pStyle w:val="ListParagraph"/>
        <w:numPr>
          <w:ilvl w:val="0"/>
          <w:numId w:val="1"/>
        </w:numPr>
        <w:spacing w:after="100"/>
      </w:pPr>
      <w:r>
        <w:rPr>
          <w:b w:val="false"/>
          <w:bCs w:val="false"/>
          <w:sz w:val="22"/>
          <w:szCs w:val="22"/>
        </w:rPr>
        <w:t xml:space="preserve">State this plainly before starting: "This is our software simulator sending telemetry through the exact same API a physical ESP32 will use — the backend cannot tell the difference."</w:t>
      </w:r>
    </w:p>
    <w:p>
      <w:pPr>
        <w:pStyle w:val="Heading3"/>
        <w:spacing w:after="100" w:before="200"/>
      </w:pPr>
      <w:r>
        <w:rPr>
          <w:b/>
          <w:bCs/>
          <w:color w:val="0D3D2B"/>
          <w:sz w:val="22"/>
          <w:szCs w:val="22"/>
        </w:rPr>
        <w:t xml:space="preserve">The moment</w:t>
      </w:r>
    </w:p>
    <w:p>
      <w:pPr>
        <w:spacing w:after="160"/>
      </w:pPr>
      <w:r>
        <w:rPr>
          <w:i w:val="false"/>
          <w:iCs w:val="false"/>
          <w:color w:val="111111"/>
          <w:sz w:val="22"/>
          <w:szCs w:val="22"/>
        </w:rPr>
        <w:t xml:space="preserve">Trigger the simulator to send a telemetry reading where soil moisture has dropped below the configured threshold (e.g. crossing under the irrigation trigger point). In real time, on screen:</w:t>
      </w:r>
    </w:p>
    <w:p>
      <w:pPr>
        <w:pStyle w:val="ListParagraph"/>
        <w:numPr>
          <w:ilvl w:val="0"/>
          <w:numId w:val="1"/>
        </w:numPr>
        <w:spacing w:after="100"/>
      </w:pPr>
      <w:r>
        <w:rPr>
          <w:b w:val="false"/>
          <w:bCs w:val="false"/>
          <w:sz w:val="22"/>
          <w:szCs w:val="22"/>
        </w:rPr>
        <w:t xml:space="preserve">The new telemetry reading appears on the Device Details / Telemetry Analytics view — the moisture chart updates with the new, lower value.</w:t>
      </w:r>
    </w:p>
    <w:p>
      <w:pPr>
        <w:pStyle w:val="ListParagraph"/>
        <w:numPr>
          <w:ilvl w:val="0"/>
          <w:numId w:val="1"/>
        </w:numPr>
        <w:spacing w:after="100"/>
      </w:pPr>
      <w:r>
        <w:rPr>
          <w:b w:val="false"/>
          <w:bCs w:val="false"/>
          <w:sz w:val="22"/>
          <w:szCs w:val="22"/>
        </w:rPr>
        <w:t xml:space="preserve">The decision engine evaluates the reading against the safety rules (max duration, daily allowance) and issues an irrigation command.</w:t>
      </w:r>
    </w:p>
    <w:p>
      <w:pPr>
        <w:pStyle w:val="ListParagraph"/>
        <w:numPr>
          <w:ilvl w:val="0"/>
          <w:numId w:val="1"/>
        </w:numPr>
        <w:spacing w:after="100"/>
      </w:pPr>
      <w:r>
        <w:rPr>
          <w:b w:val="false"/>
          <w:bCs w:val="false"/>
          <w:sz w:val="22"/>
          <w:szCs w:val="22"/>
        </w:rPr>
        <w:t xml:space="preserve">The Irrigation Control view reflects the valve state changing to open, with the bounded duration visible.</w:t>
      </w:r>
    </w:p>
    <w:p>
      <w:pPr>
        <w:pStyle w:val="ListParagraph"/>
        <w:numPr>
          <w:ilvl w:val="0"/>
          <w:numId w:val="1"/>
        </w:numPr>
        <w:spacing w:after="100"/>
      </w:pPr>
      <w:r>
        <w:rPr>
          <w:b w:val="false"/>
          <w:bCs w:val="false"/>
          <w:sz w:val="22"/>
          <w:szCs w:val="22"/>
        </w:rPr>
        <w:t xml:space="preserve">The Alerts feed logs the event.</w:t>
      </w:r>
    </w:p>
    <w:p>
      <w:pPr>
        <w:pStyle w:val="ListParagraph"/>
        <w:numPr>
          <w:ilvl w:val="0"/>
          <w:numId w:val="1"/>
        </w:numPr>
        <w:spacing w:after="100"/>
      </w:pPr>
      <w:r>
        <w:rPr>
          <w:b w:val="false"/>
          <w:bCs w:val="false"/>
          <w:sz w:val="22"/>
          <w:szCs w:val="22"/>
        </w:rPr>
        <w:t xml:space="preserve">Trigger a follow-up simulated reading showing moisture recovering — the dashboard updates again, closing the loop visibly: Measure → Understand → Decide → Act → Verify, all on screen inside under a minute.</w:t>
      </w:r>
    </w:p>
    <w:p>
      <w:pPr>
        <w:pStyle w:val="Heading3"/>
        <w:spacing w:after="100" w:before="200"/>
      </w:pPr>
      <w:r>
        <w:rPr>
          <w:b/>
          <w:bCs/>
          <w:color w:val="0D3D2B"/>
          <w:sz w:val="22"/>
          <w:szCs w:val="22"/>
        </w:rPr>
        <w:t xml:space="preserve">The line to land</w:t>
      </w:r>
    </w:p>
    <w:p>
      <w:pPr>
        <w:spacing w:after="160"/>
      </w:pPr>
      <w:r>
        <w:rPr>
          <w:i w:val="false"/>
          <w:iCs w:val="false"/>
          <w:color w:val="111111"/>
          <w:sz w:val="22"/>
          <w:szCs w:val="22"/>
        </w:rPr>
        <w:t xml:space="preserve">"What you just watched is the complete loop — a sensor reading triggered a decision, the decision issued a bounded command, and the system verified the outcome, live, without anyone touching a keyboard except to simulate the sensor input. The only piece not in this room today is the physical valve on the other end — everything upstream of it is real, running code."</w:t>
      </w:r>
    </w:p>
    <w:p>
      <w:pPr>
        <w:pStyle w:val="Heading3"/>
        <w:spacing w:after="100" w:before="200"/>
      </w:pPr>
      <w:r>
        <w:rPr>
          <w:b/>
          <w:bCs/>
          <w:color w:val="0D3D2B"/>
          <w:sz w:val="22"/>
          <w:szCs w:val="22"/>
        </w:rPr>
        <w:t xml:space="preserve">Guardrails for this demo</w:t>
      </w:r>
    </w:p>
    <w:p>
      <w:pPr>
        <w:pStyle w:val="ListParagraph"/>
        <w:numPr>
          <w:ilvl w:val="0"/>
          <w:numId w:val="1"/>
        </w:numPr>
        <w:spacing w:after="100"/>
      </w:pPr>
      <w:r>
        <w:rPr>
          <w:b w:val="false"/>
          <w:bCs w:val="false"/>
          <w:sz w:val="22"/>
          <w:szCs w:val="22"/>
        </w:rPr>
        <w:t xml:space="preserve">Never call the simulator "a device" or "hardware" out loud — always name it as a simulator.</w:t>
      </w:r>
    </w:p>
    <w:p>
      <w:pPr>
        <w:pStyle w:val="ListParagraph"/>
        <w:numPr>
          <w:ilvl w:val="0"/>
          <w:numId w:val="1"/>
        </w:numPr>
        <w:spacing w:after="100"/>
      </w:pPr>
      <w:r>
        <w:rPr>
          <w:b w:val="false"/>
          <w:bCs w:val="false"/>
          <w:sz w:val="22"/>
          <w:szCs w:val="22"/>
        </w:rPr>
        <w:t xml:space="preserve">If asked "does this control a real pump right now," answer directly: no, not yet — the physical build is the next milestone, and today's demo proves the software and decision logic that the physical device will plug into unchanged.</w:t>
      </w:r>
    </w:p>
    <w:p>
      <w:r>
        <w:br w:type="page"/>
      </w:r>
    </w:p>
    <w:p>
      <w:pPr>
        <w:pStyle w:val="Heading1"/>
        <w:spacing w:after="200" w:before="400"/>
      </w:pPr>
      <w:r>
        <w:rPr>
          <w:b/>
          <w:bCs/>
          <w:color w:val="0D3D2B"/>
          <w:sz w:val="32"/>
          <w:szCs w:val="32"/>
        </w:rPr>
        <w:t xml:space="preserve">5. Slide-by-Slide Visual Asset Checklist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200"/>
            <w:shd w:fill="EEFDF5" w:val="clear"/>
          </w:tcPr>
          <w:p>
            <w:r>
              <w:rPr>
                <w:b/>
                <w:bCs/>
                <w:sz w:val="19"/>
                <w:szCs w:val="19"/>
              </w:rPr>
              <w:t xml:space="preserve">Slide</w:t>
            </w:r>
          </w:p>
        </w:tc>
        <w:tc>
          <w:tcPr>
            <w:tcW w:type="dxa" w:w="3800"/>
            <w:shd w:fill="EEFDF5" w:val="clear"/>
          </w:tcPr>
          <w:p>
            <w:r>
              <w:rPr>
                <w:b/>
                <w:bCs/>
                <w:sz w:val="19"/>
                <w:szCs w:val="19"/>
              </w:rPr>
              <w:t xml:space="preserve">Needed</w:t>
            </w:r>
          </w:p>
        </w:tc>
        <w:tc>
          <w:tcPr>
            <w:tcW w:type="dxa" w:w="4300"/>
            <w:shd w:fill="EEFDF5" w:val="clear"/>
          </w:tcPr>
          <w:p>
            <w:r>
              <w:rPr>
                <w:b/>
                <w:bCs/>
                <w:sz w:val="19"/>
                <w:szCs w:val="19"/>
              </w:rPr>
              <w:t xml:space="preserve">Current substitute / status</w:t>
            </w:r>
          </w:p>
        </w:tc>
      </w:tr>
      <w:tr>
        <w:trPr>
          <w:tblHeader w:val="false"/>
        </w:trPr>
        <w:tc>
          <w:tcPr>
            <w:tcW w:type="dxa" w:w="1200"/>
          </w:tcPr>
          <w:p>
            <w:r>
              <w:rPr>
                <w:b w:val="false"/>
                <w:bCs w:val="false"/>
                <w:sz w:val="19"/>
                <w:szCs w:val="19"/>
              </w:rPr>
              <w:t xml:space="preserve">1 — Hook</w:t>
            </w:r>
          </w:p>
        </w:tc>
        <w:tc>
          <w:tcPr>
            <w:tcW w:type="dxa" w:w="3800"/>
          </w:tcPr>
          <w:p>
            <w:r>
              <w:rPr>
                <w:b w:val="false"/>
                <w:bCs w:val="false"/>
                <w:sz w:val="19"/>
                <w:szCs w:val="19"/>
              </w:rPr>
              <w:t xml:space="preserve">Real AgriSmart logo, brand background texture/photo (optional)</w:t>
            </w:r>
          </w:p>
        </w:tc>
        <w:tc>
          <w:tcPr>
            <w:tcW w:type="dxa" w:w="4300"/>
          </w:tcPr>
          <w:p>
            <w:r>
              <w:rPr>
                <w:b w:val="false"/>
                <w:bCs w:val="false"/>
                <w:sz w:val="19"/>
                <w:szCs w:val="19"/>
              </w:rPr>
              <w:t xml:space="preserve">Real AgriSmart logo icon (background removed, blended directly onto the dark surface with subtle glowing telemetry lines) in use, unaltered, in the header. Background is the deck's "Cyber-Agri" near-black (#0A0A0A) dark-mode treatment — optional to add real photography behind it.</w:t>
            </w:r>
          </w:p>
        </w:tc>
      </w:tr>
      <w:tr>
        <w:trPr>
          <w:tblHeader w:val="false"/>
        </w:trPr>
        <w:tc>
          <w:tcPr>
            <w:tcW w:type="dxa" w:w="1200"/>
          </w:tcPr>
          <w:p>
            <w:r>
              <w:rPr>
                <w:b w:val="false"/>
                <w:bCs w:val="false"/>
                <w:sz w:val="19"/>
                <w:szCs w:val="19"/>
              </w:rPr>
              <w:t xml:space="preserve">2 — Problem</w:t>
            </w:r>
          </w:p>
        </w:tc>
        <w:tc>
          <w:tcPr>
            <w:tcW w:type="dxa" w:w="3800"/>
          </w:tcPr>
          <w:p>
            <w:r>
              <w:rPr>
                <w:b w:val="false"/>
                <w:bCs w:val="false"/>
                <w:sz w:val="19"/>
                <w:szCs w:val="19"/>
              </w:rPr>
              <w:t xml:space="preserve">None beyond icon/number treatment</w:t>
            </w:r>
          </w:p>
        </w:tc>
        <w:tc>
          <w:tcPr>
            <w:tcW w:type="dxa" w:w="4300"/>
          </w:tcPr>
          <w:p>
            <w:r>
              <w:rPr>
                <w:b w:val="false"/>
                <w:bCs w:val="false"/>
                <w:sz w:val="19"/>
                <w:szCs w:val="19"/>
              </w:rPr>
              <w:t xml:space="preserve">Numbered cards — no external asset needed.</w:t>
            </w:r>
          </w:p>
        </w:tc>
      </w:tr>
      <w:tr>
        <w:trPr>
          <w:tblHeader w:val="false"/>
        </w:trPr>
        <w:tc>
          <w:tcPr>
            <w:tcW w:type="dxa" w:w="1200"/>
          </w:tcPr>
          <w:p>
            <w:r>
              <w:rPr>
                <w:b w:val="false"/>
                <w:bCs w:val="false"/>
                <w:sz w:val="19"/>
                <w:szCs w:val="19"/>
              </w:rPr>
              <w:t xml:space="preserve">3 — Opportunity</w:t>
            </w:r>
          </w:p>
        </w:tc>
        <w:tc>
          <w:tcPr>
            <w:tcW w:type="dxa" w:w="3800"/>
          </w:tcPr>
          <w:p>
            <w:r>
              <w:rPr>
                <w:b w:val="false"/>
                <w:bCs w:val="false"/>
                <w:sz w:val="19"/>
                <w:szCs w:val="19"/>
              </w:rPr>
              <w:t xml:space="preserve">FAO citation is real and sourced; no image required</w:t>
            </w:r>
          </w:p>
        </w:tc>
        <w:tc>
          <w:tcPr>
            <w:tcW w:type="dxa" w:w="4300"/>
          </w:tcPr>
          <w:p>
            <w:r>
              <w:rPr>
                <w:b w:val="false"/>
                <w:bCs w:val="false"/>
                <w:sz w:val="19"/>
                <w:szCs w:val="19"/>
              </w:rPr>
              <w:t xml:space="preserve">Text stat callout — sourced to fao.org, cited on-slide.</w:t>
            </w:r>
          </w:p>
        </w:tc>
      </w:tr>
      <w:tr>
        <w:trPr>
          <w:tblHeader w:val="false"/>
        </w:trPr>
        <w:tc>
          <w:tcPr>
            <w:tcW w:type="dxa" w:w="1200"/>
          </w:tcPr>
          <w:p>
            <w:r>
              <w:rPr>
                <w:b w:val="false"/>
                <w:bCs w:val="false"/>
                <w:sz w:val="19"/>
                <w:szCs w:val="19"/>
              </w:rPr>
              <w:t xml:space="preserve">4 — Aha Moment / closed loop</w:t>
            </w:r>
          </w:p>
        </w:tc>
        <w:tc>
          <w:tcPr>
            <w:tcW w:type="dxa" w:w="3800"/>
          </w:tcPr>
          <w:p>
            <w:r>
              <w:rPr>
                <w:b w:val="false"/>
                <w:bCs w:val="false"/>
                <w:sz w:val="19"/>
                <w:szCs w:val="19"/>
              </w:rPr>
              <w:t xml:space="preserve">System architecture diagram</w:t>
            </w:r>
          </w:p>
        </w:tc>
        <w:tc>
          <w:tcPr>
            <w:tcW w:type="dxa" w:w="4300"/>
          </w:tcPr>
          <w:p>
            <w:r>
              <w:rPr>
                <w:b w:val="false"/>
                <w:bCs w:val="false"/>
                <w:sz w:val="19"/>
                <w:szCs w:val="19"/>
              </w:rPr>
              <w:t xml:space="preserve">Built natively in the deck as a flow diagram — no external asset needed.</w:t>
            </w:r>
          </w:p>
        </w:tc>
      </w:tr>
      <w:tr>
        <w:trPr>
          <w:tblHeader w:val="false"/>
        </w:trPr>
        <w:tc>
          <w:tcPr>
            <w:tcW w:type="dxa" w:w="1200"/>
          </w:tcPr>
          <w:p>
            <w:r>
              <w:rPr>
                <w:b w:val="false"/>
                <w:bCs w:val="false"/>
                <w:sz w:val="19"/>
                <w:szCs w:val="19"/>
              </w:rPr>
              <w:t xml:space="preserve">5 — Product / Hardware</w:t>
            </w:r>
          </w:p>
        </w:tc>
        <w:tc>
          <w:tcPr>
            <w:tcW w:type="dxa" w:w="3800"/>
          </w:tcPr>
          <w:p>
            <w:r>
              <w:rPr>
                <w:b w:val="false"/>
                <w:bCs w:val="false"/>
                <w:sz w:val="19"/>
                <w:szCs w:val="19"/>
              </w:rPr>
              <w:t xml:space="preserve">Realistic hardware render or photo of the enclosure and components</w:t>
            </w:r>
          </w:p>
        </w:tc>
        <w:tc>
          <w:tcPr>
            <w:tcW w:type="dxa" w:w="4300"/>
          </w:tcPr>
          <w:p>
            <w:r>
              <w:rPr>
                <w:b w:val="false"/>
                <w:bCs w:val="false"/>
                <w:sz w:val="19"/>
                <w:szCs w:val="19"/>
              </w:rPr>
              <w:t xml:space="preserve">No physical hardware exists yet to photograph. Deck uses a labeled schematic/diagram of the enclosure instead of a photorealistic render — replace with real photography once the physical unit is assembled.</w:t>
            </w:r>
          </w:p>
        </w:tc>
      </w:tr>
      <w:tr>
        <w:trPr>
          <w:tblHeader w:val="false"/>
        </w:trPr>
        <w:tc>
          <w:tcPr>
            <w:tcW w:type="dxa" w:w="1200"/>
          </w:tcPr>
          <w:p>
            <w:r>
              <w:rPr>
                <w:b w:val="false"/>
                <w:bCs w:val="false"/>
                <w:sz w:val="19"/>
                <w:szCs w:val="19"/>
              </w:rPr>
              <w:t xml:space="preserve">6 — The App</w:t>
            </w:r>
          </w:p>
        </w:tc>
        <w:tc>
          <w:tcPr>
            <w:tcW w:type="dxa" w:w="3800"/>
          </w:tcPr>
          <w:p>
            <w:r>
              <w:rPr>
                <w:b w:val="false"/>
                <w:bCs w:val="false"/>
                <w:sz w:val="19"/>
                <w:szCs w:val="19"/>
              </w:rPr>
              <w:t xml:space="preserve">Actual dashboard screenshots</w:t>
            </w:r>
          </w:p>
        </w:tc>
        <w:tc>
          <w:tcPr>
            <w:tcW w:type="dxa" w:w="4300"/>
          </w:tcPr>
          <w:p>
            <w:r>
              <w:rPr>
                <w:b w:val="false"/>
                <w:bCs w:val="false"/>
                <w:sz w:val="19"/>
                <w:szCs w:val="19"/>
              </w:rPr>
              <w:t xml:space="preserve">Deck uses representative UI mockups in the real brand green, structured to match the actual built screens (Farm Overview, Device Details, Irrigation Control, Telemetry Analytics, Alerts) — recommend swapping in real screenshots of the live dashboard before an investor meeting, since the real app exists and can be screenshotted directly.</w:t>
            </w:r>
          </w:p>
        </w:tc>
      </w:tr>
      <w:tr>
        <w:trPr>
          <w:tblHeader w:val="false"/>
        </w:trPr>
        <w:tc>
          <w:tcPr>
            <w:tcW w:type="dxa" w:w="1200"/>
          </w:tcPr>
          <w:p>
            <w:r>
              <w:rPr>
                <w:b w:val="false"/>
                <w:bCs w:val="false"/>
                <w:sz w:val="19"/>
                <w:szCs w:val="19"/>
              </w:rPr>
              <w:t xml:space="preserve">7 — One Farm, One Day</w:t>
            </w:r>
          </w:p>
        </w:tc>
        <w:tc>
          <w:tcPr>
            <w:tcW w:type="dxa" w:w="3800"/>
          </w:tcPr>
          <w:p>
            <w:r>
              <w:rPr>
                <w:b w:val="false"/>
                <w:bCs w:val="false"/>
                <w:sz w:val="19"/>
                <w:szCs w:val="19"/>
              </w:rPr>
              <w:t xml:space="preserve">None beyond the timeline treatment</w:t>
            </w:r>
          </w:p>
        </w:tc>
        <w:tc>
          <w:tcPr>
            <w:tcW w:type="dxa" w:w="4300"/>
          </w:tcPr>
          <w:p>
            <w:r>
              <w:rPr>
                <w:b w:val="false"/>
                <w:bCs w:val="false"/>
                <w:sz w:val="19"/>
                <w:szCs w:val="19"/>
              </w:rPr>
              <w:t xml:space="preserve">Built natively as a timeline — no external asset needed.</w:t>
            </w:r>
          </w:p>
        </w:tc>
      </w:tr>
      <w:tr>
        <w:trPr>
          <w:tblHeader w:val="false"/>
        </w:trPr>
        <w:tc>
          <w:tcPr>
            <w:tcW w:type="dxa" w:w="1200"/>
          </w:tcPr>
          <w:p>
            <w:r>
              <w:rPr>
                <w:b w:val="false"/>
                <w:bCs w:val="false"/>
                <w:sz w:val="19"/>
                <w:szCs w:val="19"/>
              </w:rPr>
              <w:t xml:space="preserve">8 — Why Different</w:t>
            </w:r>
          </w:p>
        </w:tc>
        <w:tc>
          <w:tcPr>
            <w:tcW w:type="dxa" w:w="3800"/>
          </w:tcPr>
          <w:p>
            <w:r>
              <w:rPr>
                <w:b w:val="false"/>
                <w:bCs w:val="false"/>
                <w:sz w:val="19"/>
                <w:szCs w:val="19"/>
              </w:rPr>
              <w:t xml:space="preserve">None beyond the comparison grid</w:t>
            </w:r>
          </w:p>
        </w:tc>
        <w:tc>
          <w:tcPr>
            <w:tcW w:type="dxa" w:w="4300"/>
          </w:tcPr>
          <w:p>
            <w:r>
              <w:rPr>
                <w:b w:val="false"/>
                <w:bCs w:val="false"/>
                <w:sz w:val="19"/>
                <w:szCs w:val="19"/>
              </w:rPr>
              <w:t xml:space="preserve">Built natively as a comparison table — no external asset needed.</w:t>
            </w:r>
          </w:p>
        </w:tc>
      </w:tr>
      <w:tr>
        <w:trPr>
          <w:tblHeader w:val="false"/>
        </w:trPr>
        <w:tc>
          <w:tcPr>
            <w:tcW w:type="dxa" w:w="1200"/>
          </w:tcPr>
          <w:p>
            <w:r>
              <w:rPr>
                <w:b w:val="false"/>
                <w:bCs w:val="false"/>
                <w:sz w:val="19"/>
                <w:szCs w:val="19"/>
              </w:rPr>
              <w:t xml:space="preserve">9 — Data Flywheel</w:t>
            </w:r>
          </w:p>
        </w:tc>
        <w:tc>
          <w:tcPr>
            <w:tcW w:type="dxa" w:w="3800"/>
          </w:tcPr>
          <w:p>
            <w:r>
              <w:rPr>
                <w:b w:val="false"/>
                <w:bCs w:val="false"/>
                <w:sz w:val="19"/>
                <w:szCs w:val="19"/>
              </w:rPr>
              <w:t xml:space="preserve">None beyond the diagram</w:t>
            </w:r>
          </w:p>
        </w:tc>
        <w:tc>
          <w:tcPr>
            <w:tcW w:type="dxa" w:w="4300"/>
          </w:tcPr>
          <w:p>
            <w:r>
              <w:rPr>
                <w:b w:val="false"/>
                <w:bCs w:val="false"/>
                <w:sz w:val="19"/>
                <w:szCs w:val="19"/>
              </w:rPr>
              <w:t xml:space="preserve">Built natively as a radial diagram — no external asset needed.</w:t>
            </w:r>
          </w:p>
        </w:tc>
      </w:tr>
      <w:tr>
        <w:trPr>
          <w:tblHeader w:val="false"/>
        </w:trPr>
        <w:tc>
          <w:tcPr>
            <w:tcW w:type="dxa" w:w="1200"/>
          </w:tcPr>
          <w:p>
            <w:r>
              <w:rPr>
                <w:b w:val="false"/>
                <w:bCs w:val="false"/>
                <w:sz w:val="19"/>
                <w:szCs w:val="19"/>
              </w:rPr>
              <w:t xml:space="preserve">10 — Business Model</w:t>
            </w:r>
          </w:p>
        </w:tc>
        <w:tc>
          <w:tcPr>
            <w:tcW w:type="dxa" w:w="3800"/>
          </w:tcPr>
          <w:p>
            <w:r>
              <w:rPr>
                <w:b w:val="false"/>
                <w:bCs w:val="false"/>
                <w:sz w:val="19"/>
                <w:szCs w:val="19"/>
              </w:rPr>
              <w:t xml:space="preserve">None</w:t>
            </w:r>
          </w:p>
        </w:tc>
        <w:tc>
          <w:tcPr>
            <w:tcW w:type="dxa" w:w="4300"/>
          </w:tcPr>
          <w:p>
            <w:r>
              <w:rPr>
                <w:b w:val="false"/>
                <w:bCs w:val="false"/>
                <w:sz w:val="19"/>
                <w:szCs w:val="19"/>
              </w:rPr>
              <w:t xml:space="preserve">Built natively as cards — no external asset needed.</w:t>
            </w:r>
          </w:p>
        </w:tc>
      </w:tr>
      <w:tr>
        <w:trPr>
          <w:tblHeader w:val="false"/>
        </w:trPr>
        <w:tc>
          <w:tcPr>
            <w:tcW w:type="dxa" w:w="1200"/>
          </w:tcPr>
          <w:p>
            <w:r>
              <w:rPr>
                <w:b w:val="false"/>
                <w:bCs w:val="false"/>
                <w:sz w:val="19"/>
                <w:szCs w:val="19"/>
              </w:rPr>
              <w:t xml:space="preserve">11 — Go-To-Market</w:t>
            </w:r>
          </w:p>
        </w:tc>
        <w:tc>
          <w:tcPr>
            <w:tcW w:type="dxa" w:w="3800"/>
          </w:tcPr>
          <w:p>
            <w:r>
              <w:rPr>
                <w:b w:val="false"/>
                <w:bCs w:val="false"/>
                <w:sz w:val="19"/>
                <w:szCs w:val="19"/>
              </w:rPr>
              <w:t xml:space="preserve">None</w:t>
            </w:r>
          </w:p>
        </w:tc>
        <w:tc>
          <w:tcPr>
            <w:tcW w:type="dxa" w:w="4300"/>
          </w:tcPr>
          <w:p>
            <w:r>
              <w:rPr>
                <w:b w:val="false"/>
                <w:bCs w:val="false"/>
                <w:sz w:val="19"/>
                <w:szCs w:val="19"/>
              </w:rPr>
              <w:t xml:space="preserve">Built natively as a numbered path — no external asset needed.</w:t>
            </w:r>
          </w:p>
        </w:tc>
      </w:tr>
      <w:tr>
        <w:trPr>
          <w:tblHeader w:val="false"/>
        </w:trPr>
        <w:tc>
          <w:tcPr>
            <w:tcW w:type="dxa" w:w="1200"/>
          </w:tcPr>
          <w:p>
            <w:r>
              <w:rPr>
                <w:b w:val="false"/>
                <w:bCs w:val="false"/>
                <w:sz w:val="19"/>
                <w:szCs w:val="19"/>
              </w:rPr>
              <w:t xml:space="preserve">12 — Roadmap</w:t>
            </w:r>
          </w:p>
        </w:tc>
        <w:tc>
          <w:tcPr>
            <w:tcW w:type="dxa" w:w="3800"/>
          </w:tcPr>
          <w:p>
            <w:r>
              <w:rPr>
                <w:b w:val="false"/>
                <w:bCs w:val="false"/>
                <w:sz w:val="19"/>
                <w:szCs w:val="19"/>
              </w:rPr>
              <w:t xml:space="preserve">None</w:t>
            </w:r>
          </w:p>
        </w:tc>
        <w:tc>
          <w:tcPr>
            <w:tcW w:type="dxa" w:w="4300"/>
          </w:tcPr>
          <w:p>
            <w:r>
              <w:rPr>
                <w:b w:val="false"/>
                <w:bCs w:val="false"/>
                <w:sz w:val="19"/>
                <w:szCs w:val="19"/>
              </w:rPr>
              <w:t xml:space="preserve">Built natively as a 4-column board — no external asset needed.</w:t>
            </w:r>
          </w:p>
        </w:tc>
      </w:tr>
      <w:tr>
        <w:trPr>
          <w:tblHeader w:val="false"/>
        </w:trPr>
        <w:tc>
          <w:tcPr>
            <w:tcW w:type="dxa" w:w="1200"/>
          </w:tcPr>
          <w:p>
            <w:r>
              <w:rPr>
                <w:b w:val="false"/>
                <w:bCs w:val="false"/>
                <w:sz w:val="19"/>
                <w:szCs w:val="19"/>
              </w:rPr>
              <w:t xml:space="preserve">13 — Vision</w:t>
            </w:r>
          </w:p>
        </w:tc>
        <w:tc>
          <w:tcPr>
            <w:tcW w:type="dxa" w:w="3800"/>
          </w:tcPr>
          <w:p>
            <w:r>
              <w:rPr>
                <w:b w:val="false"/>
                <w:bCs w:val="false"/>
                <w:sz w:val="19"/>
                <w:szCs w:val="19"/>
              </w:rPr>
              <w:t xml:space="preserve">None</w:t>
            </w:r>
          </w:p>
        </w:tc>
        <w:tc>
          <w:tcPr>
            <w:tcW w:type="dxa" w:w="4300"/>
          </w:tcPr>
          <w:p>
            <w:r>
              <w:rPr>
                <w:b w:val="false"/>
                <w:bCs w:val="false"/>
                <w:sz w:val="19"/>
                <w:szCs w:val="19"/>
              </w:rPr>
              <w:t xml:space="preserve">Built natively as pill tags — no external asset needed.</w:t>
            </w:r>
          </w:p>
        </w:tc>
      </w:tr>
      <w:tr>
        <w:trPr>
          <w:tblHeader w:val="false"/>
        </w:trPr>
        <w:tc>
          <w:tcPr>
            <w:tcW w:type="dxa" w:w="1200"/>
          </w:tcPr>
          <w:p>
            <w:r>
              <w:rPr>
                <w:b w:val="false"/>
                <w:bCs w:val="false"/>
                <w:sz w:val="19"/>
                <w:szCs w:val="19"/>
              </w:rPr>
              <w:t xml:space="preserve">14 — Why Now</w:t>
            </w:r>
          </w:p>
        </w:tc>
        <w:tc>
          <w:tcPr>
            <w:tcW w:type="dxa" w:w="3800"/>
          </w:tcPr>
          <w:p>
            <w:r>
              <w:rPr>
                <w:b w:val="false"/>
                <w:bCs w:val="false"/>
                <w:sz w:val="19"/>
                <w:szCs w:val="19"/>
              </w:rPr>
              <w:t xml:space="preserve">None beyond the FAO citation already used on Slide 3</w:t>
            </w:r>
          </w:p>
        </w:tc>
        <w:tc>
          <w:tcPr>
            <w:tcW w:type="dxa" w:w="4300"/>
          </w:tcPr>
          <w:p>
            <w:r>
              <w:rPr>
                <w:b w:val="false"/>
                <w:bCs w:val="false"/>
                <w:sz w:val="19"/>
                <w:szCs w:val="19"/>
              </w:rPr>
              <w:t xml:space="preserve">Built natively as cards — no external asset needed.</w:t>
            </w:r>
          </w:p>
        </w:tc>
      </w:tr>
      <w:tr>
        <w:trPr>
          <w:tblHeader w:val="false"/>
        </w:trPr>
        <w:tc>
          <w:tcPr>
            <w:tcW w:type="dxa" w:w="1200"/>
          </w:tcPr>
          <w:p>
            <w:r>
              <w:rPr>
                <w:b w:val="false"/>
                <w:bCs w:val="false"/>
                <w:sz w:val="19"/>
                <w:szCs w:val="19"/>
              </w:rPr>
              <w:t xml:space="preserve">15 — Ask / Closing</w:t>
            </w:r>
          </w:p>
        </w:tc>
        <w:tc>
          <w:tcPr>
            <w:tcW w:type="dxa" w:w="3800"/>
          </w:tcPr>
          <w:p>
            <w:r>
              <w:rPr>
                <w:b w:val="false"/>
                <w:bCs w:val="false"/>
                <w:sz w:val="19"/>
                <w:szCs w:val="19"/>
              </w:rPr>
              <w:t xml:space="preserve">Real logo, real official email, real website/social links (only if they exist)</w:t>
            </w:r>
          </w:p>
        </w:tc>
        <w:tc>
          <w:tcPr>
            <w:tcW w:type="dxa" w:w="4300"/>
          </w:tcPr>
          <w:p>
            <w:r>
              <w:rPr>
                <w:b w:val="false"/>
                <w:bCs w:val="false"/>
                <w:sz w:val="19"/>
                <w:szCs w:val="19"/>
              </w:rPr>
              <w:t xml:space="preserve">Real AgriSmart logo icon (background removed, blended directly into the dark surface with a glowing telemetry accent — no white card) paired with the native wordmark and tagline text; real email agrismart.global@gmail.com in use. No website/social links included, because none exist in the project — add if/when they do.</w:t>
            </w:r>
          </w:p>
        </w:tc>
      </w:tr>
    </w:tbl>
    <w:p>
      <w:r>
        <w:br w:type="page"/>
      </w:r>
    </w:p>
    <w:p>
      <w:pPr>
        <w:pStyle w:val="Heading1"/>
        <w:spacing w:after="200" w:before="400"/>
      </w:pPr>
      <w:r>
        <w:rPr>
          <w:b/>
          <w:bCs/>
          <w:color w:val="0D3D2B"/>
          <w:sz w:val="32"/>
          <w:szCs w:val="32"/>
        </w:rPr>
        <w:t xml:space="preserve">6. Verified Facts vs. Proposed / Future Concepts</w:t>
      </w:r>
    </w:p>
    <w:p>
      <w:pPr>
        <w:pStyle w:val="Heading2"/>
        <w:spacing w:after="150" w:before="300"/>
      </w:pPr>
      <w:r>
        <w:rPr>
          <w:b/>
          <w:bCs/>
          <w:color w:val="146D48"/>
          <w:sz w:val="26"/>
          <w:szCs w:val="26"/>
        </w:rPr>
        <w:t xml:space="preserve">Verified — true today, confirmed in the codebase/project</w:t>
      </w:r>
    </w:p>
    <w:p>
      <w:pPr>
        <w:pStyle w:val="ListParagraph"/>
        <w:numPr>
          <w:ilvl w:val="0"/>
          <w:numId w:val="1"/>
        </w:numPr>
        <w:spacing w:after="100"/>
      </w:pPr>
      <w:r>
        <w:rPr>
          <w:b w:val="false"/>
          <w:bCs w:val="false"/>
          <w:sz w:val="22"/>
          <w:szCs w:val="22"/>
        </w:rPr>
        <w:t xml:space="preserve">The full backend module set exists and runs: auth, telemetry, devices, farms, irrigation, commands, safety rules, idempotency, logging/observability.</w:t>
      </w:r>
    </w:p>
    <w:p>
      <w:pPr>
        <w:pStyle w:val="ListParagraph"/>
        <w:numPr>
          <w:ilvl w:val="0"/>
          <w:numId w:val="1"/>
        </w:numPr>
        <w:spacing w:after="100"/>
      </w:pPr>
      <w:r>
        <w:rPr>
          <w:b w:val="false"/>
          <w:bCs w:val="false"/>
          <w:sz w:val="22"/>
          <w:szCs w:val="22"/>
        </w:rPr>
        <w:t xml:space="preserve">The React dashboard is built with the structure shown: Farm Overview, Device Details, Irrigation Control, Telemetry Analytics, Alerts.</w:t>
      </w:r>
    </w:p>
    <w:p>
      <w:pPr>
        <w:pStyle w:val="ListParagraph"/>
        <w:numPr>
          <w:ilvl w:val="0"/>
          <w:numId w:val="1"/>
        </w:numPr>
        <w:spacing w:after="100"/>
      </w:pPr>
      <w:r>
        <w:rPr>
          <w:b w:val="false"/>
          <w:bCs w:val="false"/>
          <w:sz w:val="22"/>
          <w:szCs w:val="22"/>
        </w:rPr>
        <w:t xml:space="preserve">A software device simulator exists and exercises the same backend flow a physical ESP32 device would use.</w:t>
      </w:r>
    </w:p>
    <w:p>
      <w:pPr>
        <w:pStyle w:val="ListParagraph"/>
        <w:numPr>
          <w:ilvl w:val="0"/>
          <w:numId w:val="1"/>
        </w:numPr>
        <w:spacing w:after="100"/>
      </w:pPr>
      <w:r>
        <w:rPr>
          <w:b w:val="false"/>
          <w:bCs w:val="false"/>
          <w:sz w:val="22"/>
          <w:szCs w:val="22"/>
        </w:rPr>
        <w:t xml:space="preserve">The closed-loop decision cycle (Measure → Understand → Decide → Act → Verify) is implemented in the decision engine.</w:t>
      </w:r>
    </w:p>
    <w:p>
      <w:pPr>
        <w:pStyle w:val="ListParagraph"/>
        <w:numPr>
          <w:ilvl w:val="0"/>
          <w:numId w:val="1"/>
        </w:numPr>
        <w:spacing w:after="100"/>
      </w:pPr>
      <w:r>
        <w:rPr>
          <w:b w:val="false"/>
          <w:bCs w:val="false"/>
          <w:sz w:val="22"/>
          <w:szCs w:val="22"/>
        </w:rPr>
        <w:t xml:space="preserve">Safety-rule configuration exists in the codebase, e.g. a maximum irrigation duration and a daily water allowance, matching the example values used in the pitch narrative (IRRIGATION_MAX_DURATION_SECONDS, IRRIGATION_DAILY_ALLOWANCE_SECONDS).</w:t>
      </w:r>
    </w:p>
    <w:p>
      <w:pPr>
        <w:pStyle w:val="ListParagraph"/>
        <w:numPr>
          <w:ilvl w:val="0"/>
          <w:numId w:val="1"/>
        </w:numPr>
        <w:spacing w:after="100"/>
      </w:pPr>
      <w:r>
        <w:rPr>
          <w:b w:val="false"/>
          <w:bCs w:val="false"/>
          <w:sz w:val="22"/>
          <w:szCs w:val="22"/>
        </w:rPr>
        <w:t xml:space="preserve">An automated test suite exists for the backend.</w:t>
      </w:r>
    </w:p>
    <w:p>
      <w:pPr>
        <w:pStyle w:val="ListParagraph"/>
        <w:numPr>
          <w:ilvl w:val="0"/>
          <w:numId w:val="1"/>
        </w:numPr>
        <w:spacing w:after="100"/>
      </w:pPr>
      <w:r>
        <w:rPr>
          <w:b w:val="false"/>
          <w:bCs w:val="false"/>
          <w:sz w:val="22"/>
          <w:szCs w:val="22"/>
        </w:rPr>
        <w:t xml:space="preserve">The real brand color is green (Tailwind "brand" scale, core operational green ≈ #22A86D) — confirmed in tailwind.config.js, and independently matched by the green (~#1EA667) extracted directly from the real AgriSmart logo.</w:t>
      </w:r>
    </w:p>
    <w:p>
      <w:pPr>
        <w:pStyle w:val="ListParagraph"/>
        <w:numPr>
          <w:ilvl w:val="0"/>
          <w:numId w:val="1"/>
        </w:numPr>
        <w:spacing w:after="100"/>
      </w:pPr>
      <w:r>
        <w:rPr>
          <w:b w:val="false"/>
          <w:bCs w:val="false"/>
          <w:sz w:val="22"/>
          <w:szCs w:val="22"/>
        </w:rPr>
        <w:t xml:space="preserve">The FAO statistic that agriculture accounts for ~70% of global freshwater withdrawals is a real, sourced figure (fao.org).</w:t>
      </w:r>
    </w:p>
    <w:p>
      <w:pPr>
        <w:pStyle w:val="ListParagraph"/>
        <w:numPr>
          <w:ilvl w:val="0"/>
          <w:numId w:val="1"/>
        </w:numPr>
        <w:spacing w:after="100"/>
      </w:pPr>
      <w:r>
        <w:rPr>
          <w:b w:val="false"/>
          <w:bCs w:val="false"/>
          <w:sz w:val="22"/>
          <w:szCs w:val="22"/>
        </w:rPr>
        <w:t xml:space="preserve">The tagline "SMART FARMING. BETTER FUTURE." is the project's actual tagline as supplied.</w:t>
      </w:r>
    </w:p>
    <w:p>
      <w:pPr>
        <w:pStyle w:val="ListParagraph"/>
        <w:numPr>
          <w:ilvl w:val="0"/>
          <w:numId w:val="1"/>
        </w:numPr>
        <w:spacing w:after="100"/>
      </w:pPr>
      <w:r>
        <w:rPr>
          <w:b w:val="false"/>
          <w:bCs w:val="false"/>
          <w:sz w:val="22"/>
          <w:szCs w:val="22"/>
        </w:rPr>
        <w:t xml:space="preserve">The AgriSmart logo used throughout the deck (cover, headers, final slide) is the real, official logo file supplied by the founder, used unaltered — no redrawing, recoloring, or distortion.</w:t>
      </w:r>
    </w:p>
    <w:p>
      <w:pPr>
        <w:pStyle w:val="ListParagraph"/>
        <w:numPr>
          <w:ilvl w:val="0"/>
          <w:numId w:val="1"/>
        </w:numPr>
        <w:spacing w:after="100"/>
      </w:pPr>
      <w:r>
        <w:rPr>
          <w:b w:val="false"/>
          <w:bCs w:val="false"/>
          <w:sz w:val="22"/>
          <w:szCs w:val="22"/>
        </w:rPr>
        <w:t xml:space="preserve">The contact email on the final slide, agrismart.global@gmail.com, is the real, official AgriSmart address as supplied by the founder.</w:t>
      </w:r>
    </w:p>
    <w:p>
      <w:pPr>
        <w:pStyle w:val="Heading2"/>
        <w:spacing w:after="150" w:before="300"/>
      </w:pPr>
      <w:r>
        <w:rPr>
          <w:b/>
          <w:bCs/>
          <w:color w:val="146D48"/>
          <w:sz w:val="26"/>
          <w:szCs w:val="26"/>
        </w:rPr>
        <w:t xml:space="preserve">Proposed / future — explicitly not current reality</w:t>
      </w:r>
    </w:p>
    <w:p>
      <w:pPr>
        <w:pStyle w:val="ListParagraph"/>
        <w:numPr>
          <w:ilvl w:val="0"/>
          <w:numId w:val="1"/>
        </w:numPr>
        <w:spacing w:after="100"/>
      </w:pPr>
      <w:r>
        <w:rPr>
          <w:b w:val="false"/>
          <w:bCs w:val="false"/>
          <w:sz w:val="22"/>
          <w:szCs w:val="22"/>
        </w:rPr>
        <w:t xml:space="preserve">Physical hardware assembly — the field unit is designed and specified but not yet physically built; today's proof is the software simulator.</w:t>
      </w:r>
    </w:p>
    <w:p>
      <w:pPr>
        <w:pStyle w:val="ListParagraph"/>
        <w:numPr>
          <w:ilvl w:val="0"/>
          <w:numId w:val="1"/>
        </w:numPr>
        <w:spacing w:after="100"/>
      </w:pPr>
      <w:r>
        <w:rPr>
          <w:b w:val="false"/>
          <w:bCs w:val="false"/>
          <w:sz w:val="22"/>
          <w:szCs w:val="22"/>
        </w:rPr>
        <w:t xml:space="preserve">Any AI/predictive/recommendation capability — positioned throughout as a future layer, not a current feature.</w:t>
      </w:r>
    </w:p>
    <w:p>
      <w:pPr>
        <w:pStyle w:val="ListParagraph"/>
        <w:numPr>
          <w:ilvl w:val="0"/>
          <w:numId w:val="1"/>
        </w:numPr>
        <w:spacing w:after="100"/>
      </w:pPr>
      <w:r>
        <w:rPr>
          <w:b w:val="false"/>
          <w:bCs w:val="false"/>
          <w:sz w:val="22"/>
          <w:szCs w:val="22"/>
        </w:rPr>
        <w:t xml:space="preserve">The entire Business Model slide (hardware/software/intelligence/enterprise tiers) — labeled "proposed," no current revenue, and no validated pricing, savings, or margin figures.</w:t>
      </w:r>
    </w:p>
    <w:p>
      <w:pPr>
        <w:pStyle w:val="ListParagraph"/>
        <w:numPr>
          <w:ilvl w:val="0"/>
          <w:numId w:val="1"/>
        </w:numPr>
        <w:spacing w:after="100"/>
      </w:pPr>
      <w:r>
        <w:rPr>
          <w:b w:val="false"/>
          <w:bCs w:val="false"/>
          <w:sz w:val="22"/>
          <w:szCs w:val="22"/>
        </w:rPr>
        <w:t xml:space="preserve">All Go-To-Market phases beyond "pilot validation on hand-picked farms" — no pilots are signed today.</w:t>
      </w:r>
    </w:p>
    <w:p>
      <w:pPr>
        <w:pStyle w:val="ListParagraph"/>
        <w:numPr>
          <w:ilvl w:val="0"/>
          <w:numId w:val="1"/>
        </w:numPr>
        <w:spacing w:after="100"/>
      </w:pPr>
      <w:r>
        <w:rPr>
          <w:b w:val="false"/>
          <w:bCs w:val="false"/>
          <w:sz w:val="22"/>
          <w:szCs w:val="22"/>
        </w:rPr>
        <w:t xml:space="preserve">All Roadmap items under Upcoming / Scale / Vision — including physical prototype assembly, ESP32 field build, sensor integration, and valve/pump control, which are the immediate next milestone, not yet complete. Only the "Completed" column is finished and verified today.</w:t>
      </w:r>
    </w:p>
    <w:p>
      <w:pPr>
        <w:pStyle w:val="ListParagraph"/>
        <w:numPr>
          <w:ilvl w:val="0"/>
          <w:numId w:val="1"/>
        </w:numPr>
        <w:spacing w:after="100"/>
      </w:pPr>
      <w:r>
        <w:rPr>
          <w:b w:val="false"/>
          <w:bCs w:val="false"/>
          <w:sz w:val="22"/>
          <w:szCs w:val="22"/>
        </w:rPr>
        <w:t xml:space="preserve">Any customer, farm count, water-savings percentage, revenue figure, investment raised, or partnership — none exist; none are claimed anywhere in the deck.</w:t>
      </w:r>
    </w:p>
    <w:p>
      <w:pPr>
        <w:pStyle w:val="ListParagraph"/>
        <w:numPr>
          <w:ilvl w:val="0"/>
          <w:numId w:val="1"/>
        </w:numPr>
        <w:spacing w:after="100"/>
      </w:pPr>
      <w:r>
        <w:rPr>
          <w:b w:val="false"/>
          <w:bCs w:val="false"/>
          <w:sz w:val="22"/>
          <w:szCs w:val="22"/>
        </w:rPr>
        <w:t xml:space="preserve">The specific dam names, officials, and dates cited on the Why Now slide are drawn from public reporting (Ahram Online, Al Arabiya) as of 2026 and should be re-verified before any external use, since regional developments can move quickly.</w:t>
      </w:r>
    </w:p>
    <w:p>
      <w:pPr>
        <w:pStyle w:val="Heading2"/>
        <w:spacing w:after="150" w:before="300"/>
      </w:pPr>
      <w:r>
        <w:rPr>
          <w:b/>
          <w:bCs/>
          <w:color w:val="146D48"/>
          <w:sz w:val="26"/>
          <w:szCs w:val="26"/>
        </w:rPr>
        <w:t xml:space="preserve">Remaining disclosed substitutions</w:t>
      </w:r>
    </w:p>
    <w:p>
      <w:pPr>
        <w:pStyle w:val="ListParagraph"/>
        <w:numPr>
          <w:ilvl w:val="0"/>
          <w:numId w:val="1"/>
        </w:numPr>
        <w:spacing w:after="100"/>
      </w:pPr>
      <w:r>
        <w:rPr>
          <w:b w:val="false"/>
          <w:bCs w:val="false"/>
          <w:sz w:val="22"/>
          <w:szCs w:val="22"/>
        </w:rPr>
        <w:t xml:space="preserve">No website or social links are included anywhere in the deck, because none were supplied and none were found in the project — add them if/when they exist.</w:t>
      </w:r>
    </w:p>
    <w:p>
      <w:pPr>
        <w:pStyle w:val="ListParagraph"/>
        <w:numPr>
          <w:ilvl w:val="0"/>
          <w:numId w:val="1"/>
        </w:numPr>
        <w:spacing w:after="100"/>
      </w:pPr>
      <w:r>
        <w:rPr>
          <w:b w:val="false"/>
          <w:bCs w:val="false"/>
          <w:sz w:val="22"/>
          <w:szCs w:val="22"/>
        </w:rPr>
        <w:t xml:space="preserve">Slide 6's app screens are representative UI mockups built in the real, logo-matched brand colors and structured to match the actual built dashboard (Farm Overview, Device Details, Irrigation Control, Telemetry Analytics, Alerts) — not literal screenshots. Swap in real screenshots of the live app before an investor meeting for maximum fidelity, since the real app exists and can be screenshotted directly.</w:t>
      </w:r>
    </w:p>
    <w:p>
      <w:pPr>
        <w:pStyle w:val="ListParagraph"/>
        <w:numPr>
          <w:ilvl w:val="0"/>
          <w:numId w:val="1"/>
        </w:numPr>
        <w:spacing w:after="100"/>
      </w:pPr>
      <w:r>
        <w:rPr>
          <w:b w:val="false"/>
          <w:bCs w:val="false"/>
          <w:sz w:val="22"/>
          <w:szCs w:val="22"/>
        </w:rPr>
        <w:t xml:space="preserve">Slide 5's hardware enclosure is a labeled schematic/diagram, not a photorealistic render or photo — no physical unit exists yet to photograph. Replace with real photography once the physical unit is assembled.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2026-09-07T22:26:40.958Z</dcterms:created>
  <dcterms:modified xsi:type="dcterms:W3CDTF">2026-09-07T22:26:40.959Z</dcterms:modified>
</cp:coreProperties>
</file>

<file path=docProps/custom.xml><?xml version="1.0" encoding="utf-8"?>
<Properties xmlns="http://schemas.openxmlformats.org/officeDocument/2006/custom-properties" xmlns:vt="http://schemas.openxmlformats.org/officeDocument/2006/docPropsVTypes"/>
</file>