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67406" w14:textId="77777777" w:rsidR="003D5341" w:rsidRDefault="00ED5D76">
      <w:pPr>
        <w:pStyle w:val="Title"/>
      </w:pPr>
      <w:r>
        <w:t>Hwk 3 Genoa Sullaway</w:t>
      </w:r>
    </w:p>
    <w:sdt>
      <w:sdtPr>
        <w:rPr>
          <w:rFonts w:asciiTheme="minorHAnsi" w:eastAsiaTheme="minorHAnsi" w:hAnsiTheme="minorHAnsi" w:cstheme="minorBidi"/>
          <w:color w:val="auto"/>
          <w:sz w:val="24"/>
          <w:szCs w:val="24"/>
        </w:rPr>
        <w:id w:val="1442344405"/>
        <w:docPartObj>
          <w:docPartGallery w:val="Table of Contents"/>
          <w:docPartUnique/>
        </w:docPartObj>
      </w:sdtPr>
      <w:sdtEndPr/>
      <w:sdtContent>
        <w:p w14:paraId="7AEDF639" w14:textId="77777777" w:rsidR="003D5341" w:rsidRDefault="00ED5D76">
          <w:pPr>
            <w:pStyle w:val="TOCHeading"/>
          </w:pPr>
          <w:r>
            <w:t>Table of Contents</w:t>
          </w:r>
        </w:p>
        <w:p w14:paraId="160BE611" w14:textId="77777777" w:rsidR="003D5341" w:rsidRDefault="00ED5D76">
          <w:r>
            <w:fldChar w:fldCharType="begin"/>
          </w:r>
          <w:r>
            <w:instrText>TOC \o "1-2" \h \z \u</w:instrText>
          </w:r>
          <w:r>
            <w:fldChar w:fldCharType="separate"/>
          </w:r>
          <w:r>
            <w:fldChar w:fldCharType="end"/>
          </w:r>
        </w:p>
      </w:sdtContent>
    </w:sdt>
    <w:p w14:paraId="6185C94E" w14:textId="77777777" w:rsidR="003D5341" w:rsidRDefault="00ED5D76">
      <w:pPr>
        <w:pStyle w:val="Heading1"/>
      </w:pPr>
      <w:bookmarkStart w:id="0" w:name="X135f5f004a7373c2d833d1cc0459c72d111759a"/>
      <w:r>
        <w:t>TO DO – FIGUURE OUT FIGURE SIZES IN RMD, NEED TO BE BIGGER</w:t>
      </w:r>
    </w:p>
    <w:p w14:paraId="648898D7" w14:textId="77777777" w:rsidR="003D5341" w:rsidRDefault="00ED5D76">
      <w:pPr>
        <w:pStyle w:val="Heading1"/>
      </w:pPr>
      <w:bookmarkStart w:id="1" w:name="hypotheses-could-be-better"/>
      <w:bookmarkEnd w:id="0"/>
      <w:r>
        <w:t>HYPOTHESES COULD BE BETTER?</w:t>
      </w:r>
    </w:p>
    <w:p w14:paraId="675C5256" w14:textId="77777777" w:rsidR="003D5341" w:rsidRDefault="00ED5D76">
      <w:pPr>
        <w:pStyle w:val="Heading1"/>
      </w:pPr>
      <w:bookmarkStart w:id="2" w:name="X8ab8faa31ca384c5bdace41637e5b398c623d9f"/>
      <w:bookmarkEnd w:id="1"/>
      <w:r>
        <w:t>FIGURE LABEL #S AND REFERENCE THEM IN TEXT</w:t>
      </w:r>
    </w:p>
    <w:p w14:paraId="5BCF8C1A" w14:textId="77777777" w:rsidR="003D5341" w:rsidRDefault="00ED5D76">
      <w:pPr>
        <w:pStyle w:val="Heading1"/>
      </w:pPr>
      <w:bookmarkStart w:id="3" w:name="make-sure-references-are-set-up-right"/>
      <w:bookmarkEnd w:id="2"/>
      <w:r>
        <w:t>MAKE SURE REFERENCES ARE SET UP RIGHT</w:t>
      </w:r>
    </w:p>
    <w:p w14:paraId="443E99A3" w14:textId="77777777" w:rsidR="003D5341" w:rsidRDefault="00ED5D76">
      <w:pPr>
        <w:pStyle w:val="Heading1"/>
      </w:pPr>
      <w:bookmarkStart w:id="4" w:name="any-other-plots"/>
      <w:bookmarkEnd w:id="3"/>
      <w:r>
        <w:t>ANY OTHER PLOTS?</w:t>
      </w:r>
    </w:p>
    <w:p w14:paraId="3098D40A" w14:textId="77777777" w:rsidR="003D5341" w:rsidRDefault="00ED5D76">
      <w:pPr>
        <w:pStyle w:val="Heading2"/>
      </w:pPr>
      <w:bookmarkStart w:id="5" w:name="preliminary-title"/>
      <w:r>
        <w:t>Preliminary Title:</w:t>
      </w:r>
    </w:p>
    <w:p w14:paraId="720B4498" w14:textId="77777777" w:rsidR="003D5341" w:rsidRDefault="00ED5D76">
      <w:pPr>
        <w:pStyle w:val="FirstParagraph"/>
      </w:pPr>
      <w:r>
        <w:t xml:space="preserve">Evaluating Spatial Variance in </w:t>
      </w:r>
      <w:r>
        <w:rPr>
          <w:i/>
        </w:rPr>
        <w:t>Calanus marshallae</w:t>
      </w:r>
      <w:r>
        <w:t xml:space="preserve"> distribution during the 2014-2106 Marine Heatwave in the Eastern Bering Sea</w:t>
      </w:r>
    </w:p>
    <w:p w14:paraId="35536791" w14:textId="77777777" w:rsidR="003D5341" w:rsidRDefault="00ED5D76">
      <w:pPr>
        <w:pStyle w:val="Heading2"/>
      </w:pPr>
      <w:bookmarkStart w:id="6" w:name="introductionbackground"/>
      <w:bookmarkEnd w:id="5"/>
      <w:r>
        <w:t>Introduction/Background</w:t>
      </w:r>
    </w:p>
    <w:p w14:paraId="5BB8F253" w14:textId="77777777" w:rsidR="003D5341" w:rsidRDefault="00ED5D76">
      <w:pPr>
        <w:pStyle w:val="FirstParagraph"/>
      </w:pPr>
      <w:r>
        <w:t>Marine heatwaves (MHW) have beco</w:t>
      </w:r>
      <w:r>
        <w:t>me more prevalent as anthropogenic climate change impacts progress (Frolicher et al 2018). In the Northeast Pacific Ocean, the most recent MHW (2014-2016) resulted in mass mortalities and marine mammal strandings, species distribution shifts, fishery closu</w:t>
      </w:r>
      <w:r>
        <w:t>res and social-ecological network shifts (Cheng and Frolicher 2020, Fisher et al 2021).</w:t>
      </w:r>
    </w:p>
    <w:p w14:paraId="61355362" w14:textId="77777777" w:rsidR="003D5341" w:rsidRDefault="00ED5D76">
      <w:pPr>
        <w:pStyle w:val="BodyText"/>
      </w:pPr>
      <w:r>
        <w:t xml:space="preserve">Primary and secondary production are tightly linked to oceanographic conditions. In the E. Bering Sea, copepods such as </w:t>
      </w:r>
      <w:r>
        <w:rPr>
          <w:i/>
        </w:rPr>
        <w:t>Calanus spp</w:t>
      </w:r>
      <w:r>
        <w:t>, underpin the health of the entire e</w:t>
      </w:r>
      <w:r>
        <w:t>cosystem. As high nutrient prey items, Calanus support marine mammals, numerous subsistence fisheries and a billion-dollar Pollock fishery. However, copepod abundance and community composition are heavily regulated by environmental factors. During cold yea</w:t>
      </w:r>
      <w:r>
        <w:t>rs, large nutritious copepods are abundant and persist throughout the season to feed age-0 pollock in Fall. However, during warm years, the zooplankton community composition transitions to smaller less nutritious species and large copepods are often absent</w:t>
      </w:r>
      <w:r>
        <w:t xml:space="preserve"> on the inner shelf in Fall when pollock are preparing to overwinter (Kimmel et al 2018). This disruption in lipid-rich prey in warm years has negative cascading effects throughout the EBS food web and social ecological networks.</w:t>
      </w:r>
    </w:p>
    <w:p w14:paraId="55CCD2C2" w14:textId="77777777" w:rsidR="003D5341" w:rsidRDefault="00ED5D76">
      <w:pPr>
        <w:pStyle w:val="BodyText"/>
      </w:pPr>
      <w:r>
        <w:lastRenderedPageBreak/>
        <w:t>If Calanus spatial heterog</w:t>
      </w:r>
      <w:r>
        <w:t>eneity exists within warm years, this could provide spatial refuges for predators where they still have access to high quality prey items. On the other hand, large scale climate events can lead to increases in spatial synchrony across increasingly large di</w:t>
      </w:r>
      <w:r>
        <w:t>stances. A large spread marine heatwave may increase synchrony in Calanus abundance across the EBS, and this can have cascading negative effects through the ecosystem. Moreover, changes to spatial variability in Calanus within warm years can have implicati</w:t>
      </w:r>
      <w:r>
        <w:t>ons for future predator-prey overlap (Siddon et al 2013).</w:t>
      </w:r>
    </w:p>
    <w:p w14:paraId="2DBE357E" w14:textId="77777777" w:rsidR="003D5341" w:rsidRDefault="00ED5D76">
      <w:pPr>
        <w:pStyle w:val="Heading2"/>
      </w:pPr>
      <w:bookmarkStart w:id="7" w:name="goals-and-objectives"/>
      <w:bookmarkEnd w:id="6"/>
      <w:r>
        <w:t>Goals and Objectives</w:t>
      </w:r>
    </w:p>
    <w:p w14:paraId="7516F484" w14:textId="77777777" w:rsidR="003D5341" w:rsidRDefault="00ED5D76">
      <w:pPr>
        <w:pStyle w:val="FirstParagraph"/>
      </w:pPr>
      <w:r>
        <w:t>The research question I would like to address is: Is there spatial variation in Calanus abundance during the 2014-2016 Marine Heatwave in the Eastern Bering Sea?</w:t>
      </w:r>
    </w:p>
    <w:p w14:paraId="0CAF72AD" w14:textId="77777777" w:rsidR="003D5341" w:rsidRDefault="00ED5D76">
      <w:pPr>
        <w:pStyle w:val="BodyText"/>
      </w:pPr>
      <w:r>
        <w:t>Warm stanzas an</w:t>
      </w:r>
      <w:r>
        <w:t>d marine heatwaves are predicted to become more common in the EBS. I want to understand the spatial variability for Calanus among warm years, to ultimately inform the spatial availability of Calanus prey for higher trophic levels. Does the EBS become a “fo</w:t>
      </w:r>
      <w:r>
        <w:t>od desert” for higher trophic levels or are there certain spatial refuges during warm years?</w:t>
      </w:r>
    </w:p>
    <w:p w14:paraId="41CF211A" w14:textId="77777777" w:rsidR="003D5341" w:rsidRDefault="00ED5D76">
      <w:pPr>
        <w:pStyle w:val="BodyText"/>
      </w:pPr>
      <w:r>
        <w:t>Generally, copepod abundance and phenology are tightly linked to oceanographic conditions. Thus, I expect variation in temperature to be a strong predictor in C. m</w:t>
      </w:r>
      <w:r>
        <w:t xml:space="preserve">arshallae CPUE. With greater temperatures resulting in less Calanus. I expect there may be effects related to years since the onset of the marine heatwave, ie I expect 2014 to be different than 2016 because of cumulative impacts of warm years. I expect </w:t>
      </w:r>
      <w:r>
        <w:rPr>
          <w:i/>
        </w:rPr>
        <w:t>Cal</w:t>
      </w:r>
      <w:r>
        <w:rPr>
          <w:i/>
        </w:rPr>
        <w:t>anus</w:t>
      </w:r>
      <w:r>
        <w:t xml:space="preserve"> to be more abundance in the northern inner shelves compared to the southern and outer shelves because of past </w:t>
      </w:r>
      <w:r>
        <w:rPr>
          <w:i/>
        </w:rPr>
        <w:t>Calanus</w:t>
      </w:r>
      <w:r>
        <w:t xml:space="preserve"> research demonstrating higher abudnance on inner shelves, additionally, temperatures in the Norther regions were slightly cooler than</w:t>
      </w:r>
      <w:r>
        <w:t xml:space="preserve"> the south and I expect this to contribute to </w:t>
      </w:r>
      <w:r>
        <w:rPr>
          <w:i/>
        </w:rPr>
        <w:t>Calanus</w:t>
      </w:r>
      <w:r>
        <w:t xml:space="preserve"> spatial variation.</w:t>
      </w:r>
    </w:p>
    <w:p w14:paraId="4235BC82" w14:textId="77777777" w:rsidR="003D5341" w:rsidRDefault="00ED5D76">
      <w:pPr>
        <w:pStyle w:val="BodyText"/>
      </w:pPr>
      <w:r>
        <w:t>I will need to test for colinearity across covariates, I may not need all the covariates I propose. For example, depth, temperature and Ortiz region may be confounded since Ortiz regi</w:t>
      </w:r>
      <w:r>
        <w:t>ons were delineated based on oceanographic bounds and shelf breaks that differ by depth and temperature.</w:t>
      </w:r>
    </w:p>
    <w:p w14:paraId="228DADCE" w14:textId="77777777" w:rsidR="003D5341" w:rsidRDefault="00ED5D76">
      <w:pPr>
        <w:pStyle w:val="BodyText"/>
      </w:pPr>
      <w:r>
        <w:t>-wind? salinity? talk about mutlicoollinearity</w:t>
      </w:r>
    </w:p>
    <w:p w14:paraId="305184DD" w14:textId="77777777" w:rsidR="003D5341" w:rsidRDefault="00ED5D76">
      <w:pPr>
        <w:pStyle w:val="Heading2"/>
      </w:pPr>
      <w:bookmarkStart w:id="8" w:name="data-description"/>
      <w:bookmarkEnd w:id="7"/>
      <w:r>
        <w:t>Data Description</w:t>
      </w:r>
    </w:p>
    <w:p w14:paraId="4262E1A2" w14:textId="77777777" w:rsidR="003D5341" w:rsidRDefault="00ED5D76">
      <w:pPr>
        <w:pStyle w:val="FirstParagraph"/>
      </w:pPr>
      <w:r>
        <w:t>Data were collected by NOAA AFSC ECOFOCI during at-sea oceanographic cruises in the Eas</w:t>
      </w:r>
      <w:r>
        <w:t xml:space="preserve">tern Bering Sea (Figuure XX) and zooplankton data were provided to GS by Dr. Dave Kimmel. These data are part of a larger zooplankton community dataset from the eastern Bering Sea. The response variable is </w:t>
      </w:r>
      <w:r>
        <w:rPr>
          <w:i/>
        </w:rPr>
        <w:t>Calanus marshallae</w:t>
      </w:r>
      <w:r>
        <w:t xml:space="preserve"> catch per unit effort (CPUE) (i</w:t>
      </w:r>
      <w:r>
        <w:t>ndividuals m^3) for each station (each point in figure XX) sampled in each year.</w:t>
      </w:r>
    </w:p>
    <w:p w14:paraId="6676EB67" w14:textId="77777777" w:rsidR="003D5341" w:rsidRDefault="00ED5D76">
      <w:pPr>
        <w:pStyle w:val="BodyText"/>
      </w:pPr>
      <w:r>
        <w:t>Zooplankton data are collected annually on NOAA oceanographic cruises from April-September, however the spatial and temporal schedule is unbalanced from year to year (Figure X</w:t>
      </w:r>
      <w:r>
        <w:t xml:space="preserve">X). Copepods are collected using paired bongo nets (20cm frame, 150um mesh and a 60cm frame, 333 um mesh) on oblique tows. The tow depth varies by station and is </w:t>
      </w:r>
      <w:r>
        <w:lastRenderedPageBreak/>
        <w:t>not necessarily related to bottom depth. If bottom depth is less than 100m, max tow depth is 5</w:t>
      </w:r>
      <w:r>
        <w:t>-10m above the bottom. However, if max bottom depth is deeper than 100m the max gear depth can vary depending on the sea state, most tows are not deeper than 300m. The samples are identified to lowest taxonomic level and sorted into different stages (C-1 t</w:t>
      </w:r>
      <w:r>
        <w:t>o C-6), however at this point, I summed Calanus CPUE across lifestages.</w:t>
      </w:r>
    </w:p>
    <w:p w14:paraId="7B31A94D" w14:textId="77777777" w:rsidR="003D5341" w:rsidRDefault="00ED5D76">
      <w:pPr>
        <w:pStyle w:val="BodyText"/>
      </w:pPr>
      <w:r>
        <w:t xml:space="preserve">Some covariate data is collected onboard the ship, for example maximum bottom depth and gear depth are recorded on the zooplankton gear deployment. Salinity and temperature covariates </w:t>
      </w:r>
      <w:r>
        <w:t xml:space="preserve">were collected from CTD casts done in parallel to zooplankton net casts. Covariates such as wind stress and cold pool extent were downloaded from publicly available climate dataset provided by Dr. Mike Litzlow (NOAA AFSC, </w:t>
      </w:r>
      <w:hyperlink r:id="rId7">
        <w:r>
          <w:rPr>
            <w:rStyle w:val="Hyperlink"/>
          </w:rPr>
          <w:t>https://github.com/mikelitzow/bold-new-pollock/tree/master/data</w:t>
        </w:r>
      </w:hyperlink>
      <w:r>
        <w:t>).</w:t>
      </w:r>
    </w:p>
    <w:p w14:paraId="3B38FBD7" w14:textId="625CD8CA" w:rsidR="003D5341" w:rsidRDefault="005E44C4">
      <w:pPr>
        <w:pStyle w:val="BodyText"/>
      </w:pPr>
      <w:r>
        <w:rPr>
          <w:noProof/>
        </w:rPr>
        <w:drawing>
          <wp:anchor distT="0" distB="0" distL="114300" distR="114300" simplePos="0" relativeHeight="251658240" behindDoc="0" locked="0" layoutInCell="1" allowOverlap="1" wp14:anchorId="6C478269" wp14:editId="7BCB0957">
            <wp:simplePos x="0" y="0"/>
            <wp:positionH relativeFrom="column">
              <wp:posOffset>-668655</wp:posOffset>
            </wp:positionH>
            <wp:positionV relativeFrom="paragraph">
              <wp:posOffset>1366520</wp:posOffset>
            </wp:positionV>
            <wp:extent cx="7402830" cy="4307840"/>
            <wp:effectExtent l="0" t="0" r="0" b="0"/>
            <wp:wrapSquare wrapText="bothSides"/>
            <wp:docPr id="1" name="Picture"/>
            <wp:cNvGraphicFramePr/>
            <a:graphic xmlns:a="http://schemas.openxmlformats.org/drawingml/2006/main">
              <a:graphicData uri="http://schemas.openxmlformats.org/drawingml/2006/picture">
                <pic:pic xmlns:pic="http://schemas.openxmlformats.org/drawingml/2006/picture">
                  <pic:nvPicPr>
                    <pic:cNvPr id="0" name="Picture" descr="Hwk-3-Genoa-Sullaway_files/figure-docx/PLOT%20ALL%20DATA-1.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402830" cy="430784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ED5D76">
        <w:t xml:space="preserve">Exploratory data analysis </w:t>
      </w:r>
      <w:proofErr w:type="gramStart"/>
      <w:r w:rsidR="00ED5D76">
        <w:t>demonstrate</w:t>
      </w:r>
      <w:proofErr w:type="gramEnd"/>
      <w:r w:rsidR="00ED5D76">
        <w:t xml:space="preserve"> that there is unbalanced sampling of stations across years (Figure XX). A coplot of select covariates i</w:t>
      </w:r>
      <w:r w:rsidR="00ED5D76">
        <w:t>ndicate possible relationships between depth salinity and temperature. We see that there is more variation in temperature and salinity at shallower depths across years. Additionally, there is generally less variation in temperature at depth, which is expec</w:t>
      </w:r>
      <w:r w:rsidR="00ED5D76">
        <w:t>ted based on the differences in water mixing. Interestingly, it appears that temperatures at depth get warmer and have less variability from 2014 to 2016 (Figure XX).</w:t>
      </w:r>
    </w:p>
    <w:p w14:paraId="14222D2B" w14:textId="7DD7FEF4" w:rsidR="003D5341" w:rsidRDefault="003D5341">
      <w:pPr>
        <w:pStyle w:val="BodyText"/>
      </w:pPr>
    </w:p>
    <w:p w14:paraId="7E2B77B9" w14:textId="77777777" w:rsidR="003D5341" w:rsidRDefault="00ED5D76">
      <w:pPr>
        <w:pStyle w:val="BodyText"/>
      </w:pPr>
      <w:r>
        <w:rPr>
          <w:noProof/>
        </w:rPr>
        <w:lastRenderedPageBreak/>
        <w:drawing>
          <wp:inline distT="0" distB="0" distL="0" distR="0" wp14:anchorId="01BD5242" wp14:editId="5F1C7CE2">
            <wp:extent cx="6821729" cy="3683977"/>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Hwk-3-Genoa-Sullaway_files/figure-docx/PLOT%20TEMPERATURE-1.png"/>
                    <pic:cNvPicPr>
                      <a:picLocks noChangeAspect="1" noChangeArrowheads="1"/>
                    </pic:cNvPicPr>
                  </pic:nvPicPr>
                  <pic:blipFill>
                    <a:blip r:embed="rId9"/>
                    <a:stretch>
                      <a:fillRect/>
                    </a:stretch>
                  </pic:blipFill>
                  <pic:spPr bwMode="auto">
                    <a:xfrm>
                      <a:off x="0" y="0"/>
                      <a:ext cx="6859591" cy="3704424"/>
                    </a:xfrm>
                    <a:prstGeom prst="rect">
                      <a:avLst/>
                    </a:prstGeom>
                    <a:noFill/>
                    <a:ln w="9525">
                      <a:noFill/>
                      <a:headEnd/>
                      <a:tailEnd/>
                    </a:ln>
                  </pic:spPr>
                </pic:pic>
              </a:graphicData>
            </a:graphic>
          </wp:inline>
        </w:drawing>
      </w:r>
    </w:p>
    <w:p w14:paraId="649D01BF" w14:textId="77777777" w:rsidR="003D5341" w:rsidRDefault="00ED5D76">
      <w:pPr>
        <w:pStyle w:val="BodyText"/>
      </w:pPr>
      <w:r>
        <w:rPr>
          <w:noProof/>
        </w:rPr>
        <w:lastRenderedPageBreak/>
        <w:drawing>
          <wp:inline distT="0" distB="0" distL="0" distR="0" wp14:anchorId="1DD291FB" wp14:editId="4869D86F">
            <wp:extent cx="6084277" cy="5037992"/>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0" name="Picture" descr="Hwk-3-Genoa-Sullaway_files/figure-docx/plot%20coplot%20depth%20SST%20and%20salinity-1.png"/>
                    <pic:cNvPicPr>
                      <a:picLocks noChangeAspect="1" noChangeArrowheads="1"/>
                    </pic:cNvPicPr>
                  </pic:nvPicPr>
                  <pic:blipFill>
                    <a:blip r:embed="rId10"/>
                    <a:stretch>
                      <a:fillRect/>
                    </a:stretch>
                  </pic:blipFill>
                  <pic:spPr bwMode="auto">
                    <a:xfrm>
                      <a:off x="0" y="0"/>
                      <a:ext cx="6096992" cy="5048520"/>
                    </a:xfrm>
                    <a:prstGeom prst="rect">
                      <a:avLst/>
                    </a:prstGeom>
                    <a:noFill/>
                    <a:ln w="9525">
                      <a:noFill/>
                      <a:headEnd/>
                      <a:tailEnd/>
                    </a:ln>
                  </pic:spPr>
                </pic:pic>
              </a:graphicData>
            </a:graphic>
          </wp:inline>
        </w:drawing>
      </w:r>
    </w:p>
    <w:p w14:paraId="7658DADE" w14:textId="77777777" w:rsidR="003D5341" w:rsidRDefault="00ED5D76">
      <w:pPr>
        <w:pStyle w:val="BodyText"/>
      </w:pPr>
      <w:r>
        <w:rPr>
          <w:noProof/>
        </w:rPr>
        <w:lastRenderedPageBreak/>
        <w:drawing>
          <wp:inline distT="0" distB="0" distL="0" distR="0" wp14:anchorId="05DE6957" wp14:editId="407BF484">
            <wp:extent cx="5334000" cy="4267200"/>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0" name="Picture" descr="Hwk-3-Genoa-Sullaway_files/figure-docx/unnamed-chunk-1-1.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14:paraId="49D178B9" w14:textId="77777777" w:rsidR="003D5341" w:rsidRDefault="00ED5D76">
      <w:pPr>
        <w:pStyle w:val="Heading2"/>
      </w:pPr>
      <w:bookmarkStart w:id="9" w:name="methods"/>
      <w:bookmarkEnd w:id="8"/>
      <w:r>
        <w:t>Methods</w:t>
      </w:r>
    </w:p>
    <w:p w14:paraId="041137A3" w14:textId="77777777" w:rsidR="003D5341" w:rsidRDefault="00ED5D76">
      <w:pPr>
        <w:numPr>
          <w:ilvl w:val="0"/>
          <w:numId w:val="2"/>
        </w:numPr>
      </w:pPr>
      <w:r>
        <w:t>These data may have spatial autocorrelation and they may have a slight right skew. However, with a log transformation (Figure XX) data appear normal, so I will use a log normal distribution with a log link for the model.</w:t>
      </w:r>
    </w:p>
    <w:p w14:paraId="2390274E" w14:textId="77777777" w:rsidR="003D5341" w:rsidRDefault="00ED5D76">
      <w:pPr>
        <w:numPr>
          <w:ilvl w:val="0"/>
          <w:numId w:val="2"/>
        </w:numPr>
      </w:pPr>
      <w:r>
        <w:t>The random variable we want to pred</w:t>
      </w:r>
      <w:r>
        <w:t xml:space="preserve">ict is Calanus CPUE where </w:t>
      </w:r>
      <m:oMath>
        <m:sSub>
          <m:sSubPr>
            <m:ctrlPr>
              <w:rPr>
                <w:rFonts w:ascii="Cambria Math" w:hAnsi="Cambria Math"/>
              </w:rPr>
            </m:ctrlPr>
          </m:sSubPr>
          <m:e>
            <m:r>
              <w:rPr>
                <w:rFonts w:ascii="Cambria Math" w:hAnsi="Cambria Math"/>
              </w:rPr>
              <m:t>γ</m:t>
            </m:r>
          </m:e>
          <m:sub>
            <m:r>
              <w:rPr>
                <w:rFonts w:ascii="Cambria Math" w:hAnsi="Cambria Math"/>
              </w:rPr>
              <m:t>i</m:t>
            </m:r>
          </m:sub>
        </m:sSub>
      </m:oMath>
      <w:r>
        <w:t xml:space="preserve"> = Calanus m-3</w:t>
      </w:r>
    </w:p>
    <w:p w14:paraId="6C40B2ED" w14:textId="77777777" w:rsidR="003D5341" w:rsidRDefault="00ED5D76">
      <w:pPr>
        <w:pStyle w:val="FirstParagraph"/>
      </w:pPr>
      <m:oMathPara>
        <m:oMathParaPr>
          <m:jc m:val="center"/>
        </m:oMathParaPr>
        <m:oMath>
          <m: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r>
                <w:rPr>
                  <w:rFonts w:ascii="Cambria Math" w:hAnsi="Cambria Math"/>
                </w:rPr>
                <m:t>,</m:t>
              </m:r>
              <m:r>
                <w:rPr>
                  <w:rFonts w:ascii="Cambria Math" w:hAnsi="Cambria Math"/>
                </w:rPr>
                <m:t>s</m:t>
              </m:r>
              <m:r>
                <w:rPr>
                  <w:rFonts w:ascii="Cambria Math" w:hAnsi="Cambria Math"/>
                </w:rPr>
                <m:t>,</m:t>
              </m:r>
              <m:r>
                <w:rPr>
                  <w:rFonts w:ascii="Cambria Math" w:hAnsi="Cambria Math"/>
                </w:rPr>
                <m:t>y</m:t>
              </m:r>
            </m:sub>
          </m:sSub>
          <m:r>
            <w:rPr>
              <w:rFonts w:ascii="Cambria Math" w:hAnsi="Cambria Math"/>
            </w:rPr>
            <m:t>)∼</m:t>
          </m:r>
          <m:r>
            <w:rPr>
              <w:rFonts w:ascii="Cambria Math" w:hAnsi="Cambria Math"/>
            </w:rPr>
            <m:t>LogNormal</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r>
                <w:rPr>
                  <w:rFonts w:ascii="Cambria Math" w:hAnsi="Cambria Math"/>
                </w:rPr>
                <m:t>,</m:t>
              </m:r>
              <m:r>
                <w:rPr>
                  <w:rFonts w:ascii="Cambria Math" w:hAnsi="Cambria Math"/>
                </w:rPr>
                <m:t>s</m:t>
              </m:r>
              <m:r>
                <w:rPr>
                  <w:rFonts w:ascii="Cambria Math" w:hAnsi="Cambria Math"/>
                </w:rPr>
                <m:t>,</m:t>
              </m:r>
              <m:r>
                <w:rPr>
                  <w:rFonts w:ascii="Cambria Math" w:hAnsi="Cambria Math"/>
                </w:rPr>
                <m:t>y</m:t>
              </m:r>
            </m:sub>
          </m:sSub>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oMath>
      </m:oMathPara>
    </w:p>
    <w:p w14:paraId="091D14E7" w14:textId="77777777" w:rsidR="003D5341" w:rsidRDefault="00ED5D76">
      <w:pPr>
        <w:pStyle w:val="FirstParagraph"/>
      </w:pPr>
      <m:oMathPara>
        <m:oMathParaPr>
          <m:jc m:val="center"/>
        </m:oMathParaPr>
        <m:oMath>
          <m: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r>
                <w:rPr>
                  <w:rFonts w:ascii="Cambria Math" w:hAnsi="Cambria Math"/>
                </w:rPr>
                <m:t>,</m:t>
              </m:r>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Dept</m:t>
          </m:r>
          <m:sSub>
            <m:sSubPr>
              <m:ctrlPr>
                <w:rPr>
                  <w:rFonts w:ascii="Cambria Math" w:hAnsi="Cambria Math"/>
                </w:rPr>
              </m:ctrlPr>
            </m:sSubPr>
            <m:e>
              <m:r>
                <w:rPr>
                  <w:rFonts w:ascii="Cambria Math" w:hAnsi="Cambria Math"/>
                </w:rPr>
                <m:t>h</m:t>
              </m:r>
            </m:e>
            <m:sub>
              <m:r>
                <w:rPr>
                  <w:rFonts w:ascii="Cambria Math" w:hAnsi="Cambria Math"/>
                </w:rPr>
                <m:t>s</m:t>
              </m:r>
              <m:r>
                <w:rPr>
                  <w:rFonts w:ascii="Cambria Math" w:hAnsi="Cambria Math"/>
                </w:rPr>
                <m:t>,</m:t>
              </m:r>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Tem</m:t>
          </m:r>
          <m:sSub>
            <m:sSubPr>
              <m:ctrlPr>
                <w:rPr>
                  <w:rFonts w:ascii="Cambria Math" w:hAnsi="Cambria Math"/>
                </w:rPr>
              </m:ctrlPr>
            </m:sSubPr>
            <m:e>
              <m:r>
                <w:rPr>
                  <w:rFonts w:ascii="Cambria Math" w:hAnsi="Cambria Math"/>
                </w:rPr>
                <m:t>p</m:t>
              </m:r>
            </m:e>
            <m:sub>
              <m:r>
                <w:rPr>
                  <w:rFonts w:ascii="Cambria Math" w:hAnsi="Cambria Math"/>
                </w:rPr>
                <m:t>s</m:t>
              </m:r>
              <m:r>
                <w:rPr>
                  <w:rFonts w:ascii="Cambria Math" w:hAnsi="Cambria Math"/>
                </w:rPr>
                <m:t>,</m:t>
              </m:r>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SA</m:t>
          </m:r>
          <m:sSub>
            <m:sSubPr>
              <m:ctrlPr>
                <w:rPr>
                  <w:rFonts w:ascii="Cambria Math" w:hAnsi="Cambria Math"/>
                </w:rPr>
              </m:ctrlPr>
            </m:sSubPr>
            <m:e>
              <m:r>
                <w:rPr>
                  <w:rFonts w:ascii="Cambria Math" w:hAnsi="Cambria Math"/>
                </w:rPr>
                <m:t>L</m:t>
              </m:r>
            </m:e>
            <m:sub>
              <m:r>
                <w:rPr>
                  <w:rFonts w:ascii="Cambria Math" w:hAnsi="Cambria Math"/>
                </w:rPr>
                <m:t>s</m:t>
              </m:r>
              <m:r>
                <w:rPr>
                  <w:rFonts w:ascii="Cambria Math" w:hAnsi="Cambria Math"/>
                </w:rPr>
                <m:t>,</m:t>
              </m:r>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4</m:t>
              </m:r>
            </m:sub>
          </m:sSub>
          <m:r>
            <w:rPr>
              <w:rFonts w:ascii="Cambria Math" w:hAnsi="Cambria Math"/>
            </w:rPr>
            <m:t>Win</m:t>
          </m:r>
          <m:sSub>
            <m:sSubPr>
              <m:ctrlPr>
                <w:rPr>
                  <w:rFonts w:ascii="Cambria Math" w:hAnsi="Cambria Math"/>
                </w:rPr>
              </m:ctrlPr>
            </m:sSubPr>
            <m:e>
              <m:r>
                <w:rPr>
                  <w:rFonts w:ascii="Cambria Math" w:hAnsi="Cambria Math"/>
                </w:rPr>
                <m:t>d</m:t>
              </m:r>
            </m:e>
            <m:sub>
              <m:r>
                <w:rPr>
                  <w:rFonts w:ascii="Cambria Math" w:hAnsi="Cambria Math"/>
                </w:rPr>
                <m:t>n</m:t>
              </m:r>
              <m:r>
                <w:rPr>
                  <w:rFonts w:ascii="Cambria Math" w:hAnsi="Cambria Math"/>
                </w:rPr>
                <m:t>,</m:t>
              </m:r>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5</m:t>
              </m:r>
            </m:sub>
          </m:sSub>
          <m:r>
            <w:rPr>
              <w:rFonts w:ascii="Cambria Math" w:hAnsi="Cambria Math"/>
            </w:rPr>
            <m:t>C</m:t>
          </m:r>
          <m:sSub>
            <m:sSubPr>
              <m:ctrlPr>
                <w:rPr>
                  <w:rFonts w:ascii="Cambria Math" w:hAnsi="Cambria Math"/>
                </w:rPr>
              </m:ctrlPr>
            </m:sSubPr>
            <m:e>
              <m:r>
                <w:rPr>
                  <w:rFonts w:ascii="Cambria Math" w:hAnsi="Cambria Math"/>
                </w:rPr>
                <m:t>P</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6</m:t>
              </m:r>
            </m:sub>
          </m:sSub>
          <m:r>
            <w:rPr>
              <w:rFonts w:ascii="Cambria Math" w:hAnsi="Cambria Math"/>
            </w:rPr>
            <m:t>Domai</m:t>
          </m:r>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7</m:t>
              </m:r>
            </m:sub>
          </m:sSub>
          <m:r>
            <w:rPr>
              <w:rFonts w:ascii="Cambria Math" w:hAnsi="Cambria Math"/>
            </w:rPr>
            <m:t>SA</m:t>
          </m:r>
          <m:sSub>
            <m:sSubPr>
              <m:ctrlPr>
                <w:rPr>
                  <w:rFonts w:ascii="Cambria Math" w:hAnsi="Cambria Math"/>
                </w:rPr>
              </m:ctrlPr>
            </m:sSubPr>
            <m:e>
              <m:r>
                <w:rPr>
                  <w:rFonts w:ascii="Cambria Math" w:hAnsi="Cambria Math"/>
                </w:rPr>
                <m:t>L</m:t>
              </m:r>
            </m:e>
            <m:sub>
              <m:r>
                <w:rPr>
                  <w:rFonts w:ascii="Cambria Math" w:hAnsi="Cambria Math"/>
                </w:rPr>
                <m:t>s</m:t>
              </m:r>
              <m:r>
                <w:rPr>
                  <w:rFonts w:ascii="Cambria Math" w:hAnsi="Cambria Math"/>
                </w:rPr>
                <m:t>,</m:t>
              </m:r>
              <m:r>
                <w:rPr>
                  <w:rFonts w:ascii="Cambria Math" w:hAnsi="Cambria Math"/>
                </w:rPr>
                <m:t>y</m:t>
              </m:r>
            </m:sub>
          </m:sSub>
          <m:r>
            <w:rPr>
              <w:rFonts w:ascii="Cambria Math" w:hAnsi="Cambria Math"/>
            </w:rPr>
            <m:t>+</m:t>
          </m:r>
          <m:r>
            <w:rPr>
              <w:rFonts w:ascii="Cambria Math" w:hAnsi="Cambria Math"/>
            </w:rPr>
            <m:t>ε</m:t>
          </m:r>
        </m:oMath>
      </m:oMathPara>
    </w:p>
    <w:p w14:paraId="3BB79D7D" w14:textId="77777777" w:rsidR="003D5341" w:rsidRDefault="00ED5D76">
      <w:pPr>
        <w:pStyle w:val="FirstParagraph"/>
      </w:pPr>
      <m:oMathPara>
        <m:oMathParaPr>
          <m:jc m:val="center"/>
        </m:oMathParaPr>
        <m:oMath>
          <m:r>
            <w:rPr>
              <w:rFonts w:ascii="Cambria Math" w:hAnsi="Cambria Math"/>
            </w:rPr>
            <m:t>ε</m:t>
          </m:r>
          <m:r>
            <w:rPr>
              <w:rFonts w:ascii="Cambria Math" w:hAnsi="Cambria Math"/>
            </w:rPr>
            <m:t>=</m:t>
          </m:r>
          <m:r>
            <w:rPr>
              <w:rFonts w:ascii="Cambria Math" w:hAnsi="Cambria Math"/>
            </w:rPr>
            <m:t>MVN</m:t>
          </m:r>
          <m:r>
            <w:rPr>
              <w:rFonts w:ascii="Cambria Math" w:hAnsi="Cambria Math"/>
            </w:rPr>
            <m:t>(0,</m:t>
          </m:r>
          <m:r>
            <w:rPr>
              <w:rFonts w:ascii="Cambria Math" w:hAnsi="Cambria Math"/>
            </w:rPr>
            <m:t>σ</m:t>
          </m:r>
          <m:r>
            <w:rPr>
              <w:rFonts w:ascii="Cambria Math" w:hAnsi="Cambria Math"/>
            </w:rPr>
            <m:t>)</m:t>
          </m:r>
        </m:oMath>
      </m:oMathPara>
    </w:p>
    <w:p w14:paraId="0E218766" w14:textId="77777777" w:rsidR="003D5341" w:rsidRDefault="00ED5D76">
      <w:pPr>
        <w:pStyle w:val="FirstParagraph"/>
      </w:pPr>
      <w:r>
        <w:t xml:space="preserve">Where </w:t>
      </w:r>
      <m:oMath>
        <m:sSub>
          <m:sSubPr>
            <m:ctrlPr>
              <w:rPr>
                <w:rFonts w:ascii="Cambria Math" w:hAnsi="Cambria Math"/>
              </w:rPr>
            </m:ctrlPr>
          </m:sSubPr>
          <m:e>
            <m:r>
              <w:rPr>
                <w:rFonts w:ascii="Cambria Math" w:hAnsi="Cambria Math"/>
              </w:rPr>
              <m:t>B</m:t>
            </m:r>
          </m:e>
          <m:sub>
            <m:r>
              <w:rPr>
                <w:rFonts w:ascii="Cambria Math" w:hAnsi="Cambria Math"/>
              </w:rPr>
              <m:t>0</m:t>
            </m:r>
            <m:r>
              <w:rPr>
                <w:rFonts w:ascii="Cambria Math" w:hAnsi="Cambria Math"/>
              </w:rPr>
              <m:t>i</m:t>
            </m:r>
          </m:sub>
        </m:sSub>
      </m:oMath>
      <w:r>
        <w:t xml:space="preserve"> is the random effect of year (note I am interested in looking at temporal autocorrelation, I think the order of the year matters as the heatwave progresses), </w:t>
      </w:r>
      <m:oMath>
        <m:r>
          <w:rPr>
            <w:rFonts w:ascii="Cambria Math" w:hAnsi="Cambria Math"/>
          </w:rPr>
          <m:t>Dept</m:t>
        </m:r>
        <m:sSub>
          <m:sSubPr>
            <m:ctrlPr>
              <w:rPr>
                <w:rFonts w:ascii="Cambria Math" w:hAnsi="Cambria Math"/>
              </w:rPr>
            </m:ctrlPr>
          </m:sSubPr>
          <m:e>
            <m:r>
              <w:rPr>
                <w:rFonts w:ascii="Cambria Math" w:hAnsi="Cambria Math"/>
              </w:rPr>
              <m:t>h</m:t>
            </m:r>
          </m:e>
          <m:sub>
            <m:r>
              <w:rPr>
                <w:rFonts w:ascii="Cambria Math" w:hAnsi="Cambria Math"/>
              </w:rPr>
              <m:t>s</m:t>
            </m:r>
            <m:r>
              <w:rPr>
                <w:rFonts w:ascii="Cambria Math" w:hAnsi="Cambria Math"/>
              </w:rPr>
              <m:t>,</m:t>
            </m:r>
            <m:r>
              <w:rPr>
                <w:rFonts w:ascii="Cambria Math" w:hAnsi="Cambria Math"/>
              </w:rPr>
              <m:t>y</m:t>
            </m:r>
          </m:sub>
        </m:sSub>
      </m:oMath>
      <w:r>
        <w:t xml:space="preserve"> is the survey depth, </w:t>
      </w:r>
      <m:oMath>
        <m:r>
          <w:rPr>
            <w:rFonts w:ascii="Cambria Math" w:hAnsi="Cambria Math"/>
          </w:rPr>
          <m:t>Tem</m:t>
        </m:r>
        <m:sSub>
          <m:sSubPr>
            <m:ctrlPr>
              <w:rPr>
                <w:rFonts w:ascii="Cambria Math" w:hAnsi="Cambria Math"/>
              </w:rPr>
            </m:ctrlPr>
          </m:sSubPr>
          <m:e>
            <m:r>
              <w:rPr>
                <w:rFonts w:ascii="Cambria Math" w:hAnsi="Cambria Math"/>
              </w:rPr>
              <m:t>p</m:t>
            </m:r>
          </m:e>
          <m:sub>
            <m:r>
              <w:rPr>
                <w:rFonts w:ascii="Cambria Math" w:hAnsi="Cambria Math"/>
              </w:rPr>
              <m:t>s</m:t>
            </m:r>
            <m:r>
              <w:rPr>
                <w:rFonts w:ascii="Cambria Math" w:hAnsi="Cambria Math"/>
              </w:rPr>
              <m:t>,</m:t>
            </m:r>
            <m:r>
              <w:rPr>
                <w:rFonts w:ascii="Cambria Math" w:hAnsi="Cambria Math"/>
              </w:rPr>
              <m:t>y</m:t>
            </m:r>
          </m:sub>
        </m:sSub>
      </m:oMath>
      <w:r>
        <w:t xml:space="preserve"> is the mean temperature at each station fo</w:t>
      </w:r>
      <w:r>
        <w:t xml:space="preserve">r each year, </w:t>
      </w:r>
      <m:oMath>
        <m:r>
          <w:rPr>
            <w:rFonts w:ascii="Cambria Math" w:hAnsi="Cambria Math"/>
          </w:rPr>
          <m:t>SA</m:t>
        </m:r>
        <m:sSub>
          <m:sSubPr>
            <m:ctrlPr>
              <w:rPr>
                <w:rFonts w:ascii="Cambria Math" w:hAnsi="Cambria Math"/>
              </w:rPr>
            </m:ctrlPr>
          </m:sSubPr>
          <m:e>
            <m:r>
              <w:rPr>
                <w:rFonts w:ascii="Cambria Math" w:hAnsi="Cambria Math"/>
              </w:rPr>
              <m:t>L</m:t>
            </m:r>
          </m:e>
          <m:sub>
            <m:r>
              <w:rPr>
                <w:rFonts w:ascii="Cambria Math" w:hAnsi="Cambria Math"/>
              </w:rPr>
              <m:t>s</m:t>
            </m:r>
            <m:r>
              <w:rPr>
                <w:rFonts w:ascii="Cambria Math" w:hAnsi="Cambria Math"/>
              </w:rPr>
              <m:t>,</m:t>
            </m:r>
            <m:r>
              <w:rPr>
                <w:rFonts w:ascii="Cambria Math" w:hAnsi="Cambria Math"/>
              </w:rPr>
              <m:t>y</m:t>
            </m:r>
          </m:sub>
        </m:sSub>
      </m:oMath>
      <w:r>
        <w:t xml:space="preserve"> is the mean salinity at each station for each year, </w:t>
      </w:r>
      <m:oMath>
        <m:r>
          <w:rPr>
            <w:rFonts w:ascii="Cambria Math" w:hAnsi="Cambria Math"/>
          </w:rPr>
          <m:t>Win</m:t>
        </m:r>
        <m:sSub>
          <m:sSubPr>
            <m:ctrlPr>
              <w:rPr>
                <w:rFonts w:ascii="Cambria Math" w:hAnsi="Cambria Math"/>
              </w:rPr>
            </m:ctrlPr>
          </m:sSubPr>
          <m:e>
            <m:r>
              <w:rPr>
                <w:rFonts w:ascii="Cambria Math" w:hAnsi="Cambria Math"/>
              </w:rPr>
              <m:t>d</m:t>
            </m:r>
          </m:e>
          <m:sub>
            <m:r>
              <w:rPr>
                <w:rFonts w:ascii="Cambria Math" w:hAnsi="Cambria Math"/>
              </w:rPr>
              <m:t>n</m:t>
            </m:r>
            <m:r>
              <w:rPr>
                <w:rFonts w:ascii="Cambria Math" w:hAnsi="Cambria Math"/>
              </w:rPr>
              <m:t>,</m:t>
            </m:r>
            <m:r>
              <w:rPr>
                <w:rFonts w:ascii="Cambria Math" w:hAnsi="Cambria Math"/>
              </w:rPr>
              <m:t>y</m:t>
            </m:r>
          </m:sub>
        </m:sSub>
      </m:oMath>
      <w:r>
        <w:t xml:space="preserve"> is the wind stress for each direction (north or south) for each year, </w:t>
      </w:r>
      <m:oMath>
        <m:r>
          <w:rPr>
            <w:rFonts w:ascii="Cambria Math" w:hAnsi="Cambria Math"/>
          </w:rPr>
          <m:t>C</m:t>
        </m:r>
        <m:sSub>
          <m:sSubPr>
            <m:ctrlPr>
              <w:rPr>
                <w:rFonts w:ascii="Cambria Math" w:hAnsi="Cambria Math"/>
              </w:rPr>
            </m:ctrlPr>
          </m:sSubPr>
          <m:e>
            <m:r>
              <w:rPr>
                <w:rFonts w:ascii="Cambria Math" w:hAnsi="Cambria Math"/>
              </w:rPr>
              <m:t>P</m:t>
            </m:r>
          </m:e>
          <m:sub>
            <m:r>
              <w:rPr>
                <w:rFonts w:ascii="Cambria Math" w:hAnsi="Cambria Math"/>
              </w:rPr>
              <m:t>y</m:t>
            </m:r>
          </m:sub>
        </m:sSub>
      </m:oMath>
      <w:r>
        <w:t xml:space="preserve"> is the cold pool extent for that year, </w:t>
      </w:r>
      <m:oMath>
        <m:r>
          <w:rPr>
            <w:rFonts w:ascii="Cambria Math" w:hAnsi="Cambria Math"/>
          </w:rPr>
          <m:t>Domai</m:t>
        </m:r>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is the station domain related to t</w:t>
      </w:r>
      <w:r>
        <w:t xml:space="preserve">he Ortiz regions delineated by oceanographic bounds. The </w:t>
      </w:r>
      <w:r>
        <w:lastRenderedPageBreak/>
        <w:t xml:space="preserve">error term, </w:t>
      </w:r>
      <m:oMath>
        <m:sSub>
          <m:sSubPr>
            <m:ctrlPr>
              <w:rPr>
                <w:rFonts w:ascii="Cambria Math" w:hAnsi="Cambria Math"/>
              </w:rPr>
            </m:ctrlPr>
          </m:sSubPr>
          <m:e>
            <m:r>
              <w:rPr>
                <w:rFonts w:ascii="Cambria Math" w:hAnsi="Cambria Math"/>
              </w:rPr>
              <m:t>ε</m:t>
            </m:r>
          </m:e>
          <m:sub>
            <m:r>
              <w:rPr>
                <w:rFonts w:ascii="Cambria Math" w:hAnsi="Cambria Math"/>
              </w:rPr>
              <m:t>i</m:t>
            </m:r>
          </m:sub>
        </m:sSub>
      </m:oMath>
      <w:r>
        <w:t xml:space="preserve">, is assumed to be multivariate normally distributed and </w:t>
      </w:r>
      <m:oMath>
        <m:r>
          <w:rPr>
            <w:rFonts w:ascii="Cambria Math" w:hAnsi="Cambria Math"/>
          </w:rPr>
          <m:t>σ</m:t>
        </m:r>
      </m:oMath>
      <w:r>
        <w:t xml:space="preserve"> will be composed of a variance-covariance matrix that accounts for spatial autocorrelation.</w:t>
      </w:r>
    </w:p>
    <w:p w14:paraId="3754165E" w14:textId="77777777" w:rsidR="003D5341" w:rsidRDefault="00ED5D76">
      <w:pPr>
        <w:pStyle w:val="BodyText"/>
      </w:pPr>
      <w:r>
        <w:t>Back-transformed results will u</w:t>
      </w:r>
      <w:r>
        <w:t>nder go a bias correction.</w:t>
      </w:r>
    </w:p>
    <w:p w14:paraId="2FEAE479" w14:textId="77777777" w:rsidR="003D5341" w:rsidRDefault="00ED5D76">
      <w:pPr>
        <w:pStyle w:val="Compact"/>
        <w:numPr>
          <w:ilvl w:val="0"/>
          <w:numId w:val="3"/>
        </w:numPr>
      </w:pPr>
      <w:r>
        <w:t>W = wind (north and south) for each year (y) DECIDE WHICH WIND METRIC TO USE</w:t>
      </w:r>
    </w:p>
    <w:p w14:paraId="614BC501" w14:textId="77777777" w:rsidR="003D5341" w:rsidRDefault="00ED5D76">
      <w:pPr>
        <w:pStyle w:val="Heading2"/>
      </w:pPr>
      <w:bookmarkStart w:id="10" w:name="references"/>
      <w:bookmarkEnd w:id="9"/>
      <w:r>
        <w:t>References</w:t>
      </w:r>
    </w:p>
    <w:p w14:paraId="32D1A968" w14:textId="77777777" w:rsidR="003D5341" w:rsidRDefault="00ED5D76">
      <w:pPr>
        <w:pStyle w:val="Compact"/>
        <w:numPr>
          <w:ilvl w:val="0"/>
          <w:numId w:val="4"/>
        </w:numPr>
      </w:pPr>
      <w:r>
        <w:t>Cheung, W.W.L., Frölicher, T.L. Marine heatwaves exacerbate climate change impacts for fisheries in the northeast Pacific. Sci Rep 10, 6678 (</w:t>
      </w:r>
      <w:r>
        <w:t xml:space="preserve">2020). </w:t>
      </w:r>
      <w:hyperlink r:id="rId12">
        <w:r>
          <w:rPr>
            <w:rStyle w:val="Hyperlink"/>
          </w:rPr>
          <w:t>https://doi.org/10.1038/s41598-020-63650-z</w:t>
        </w:r>
      </w:hyperlink>
    </w:p>
    <w:p w14:paraId="305CBFCB" w14:textId="77777777" w:rsidR="003D5341" w:rsidRDefault="00ED5D76">
      <w:pPr>
        <w:pStyle w:val="Compact"/>
        <w:numPr>
          <w:ilvl w:val="0"/>
          <w:numId w:val="4"/>
        </w:numPr>
      </w:pPr>
      <w:r>
        <w:t>Frölicher, Thomas L., Erich M. Fischer, and Nicolas Gruber. “Marine heatwaves under global warming.” Nature 560.7718 (2018): 360-364.</w:t>
      </w:r>
    </w:p>
    <w:p w14:paraId="71368D62" w14:textId="77777777" w:rsidR="003D5341" w:rsidRDefault="00ED5D76">
      <w:pPr>
        <w:pStyle w:val="Compact"/>
        <w:numPr>
          <w:ilvl w:val="0"/>
          <w:numId w:val="4"/>
        </w:numPr>
      </w:pPr>
      <w:r>
        <w:t>Fisher, Ma</w:t>
      </w:r>
      <w:r>
        <w:t>ry C., Stephanie K. Moore, Sunny L. Jardine, James R. Watson, and Jameal F. Samhouri. “Climate shock effects and mediation in fisheries.” Proceedings of the National Academy of Sciences 118, no. 2 (2021).</w:t>
      </w:r>
    </w:p>
    <w:p w14:paraId="54DAE31C" w14:textId="77777777" w:rsidR="003D5341" w:rsidRDefault="00ED5D76">
      <w:pPr>
        <w:pStyle w:val="Compact"/>
        <w:numPr>
          <w:ilvl w:val="0"/>
          <w:numId w:val="4"/>
        </w:numPr>
      </w:pPr>
      <w:r>
        <w:t>Siddon, Elizabeth Calvert, Trond Kristiansen, Franz</w:t>
      </w:r>
      <w:r>
        <w:t xml:space="preserve"> J. Mueter, Kirstin K. Holsman, Ron A. Heintz, and Edward V. Farley. “Spatial match-mismatch between juvenile fish and prey provides a mechanism for recruitment variability across contrasting climate conditions in the eastern Bering Sea.” PLoS One 8, no. 1</w:t>
      </w:r>
      <w:r>
        <w:t>2 (2013): e84526.</w:t>
      </w:r>
      <w:bookmarkEnd w:id="4"/>
      <w:bookmarkEnd w:id="10"/>
    </w:p>
    <w:sectPr w:rsidR="003D534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3D75C" w14:textId="77777777" w:rsidR="00ED5D76" w:rsidRDefault="00ED5D76">
      <w:pPr>
        <w:spacing w:after="0"/>
      </w:pPr>
      <w:r>
        <w:separator/>
      </w:r>
    </w:p>
  </w:endnote>
  <w:endnote w:type="continuationSeparator" w:id="0">
    <w:p w14:paraId="39BFF16B" w14:textId="77777777" w:rsidR="00ED5D76" w:rsidRDefault="00ED5D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altName w:val="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E859D1" w14:textId="77777777" w:rsidR="00ED5D76" w:rsidRDefault="00ED5D76">
      <w:r>
        <w:separator/>
      </w:r>
    </w:p>
  </w:footnote>
  <w:footnote w:type="continuationSeparator" w:id="0">
    <w:p w14:paraId="170DE19E" w14:textId="77777777" w:rsidR="00ED5D76" w:rsidRDefault="00ED5D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50F062E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723A854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
  </w:num>
  <w:num w:numId="2">
    <w:abstractNumId w:val="0"/>
  </w:num>
  <w:num w:numId="3">
    <w:abstractNumId w:val="0"/>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3D5341"/>
    <w:rsid w:val="004E29B3"/>
    <w:rsid w:val="00590D07"/>
    <w:rsid w:val="005E44C4"/>
    <w:rsid w:val="00784D58"/>
    <w:rsid w:val="008D6863"/>
    <w:rsid w:val="00B86B75"/>
    <w:rsid w:val="00BC48D5"/>
    <w:rsid w:val="00C36279"/>
    <w:rsid w:val="00E315A3"/>
    <w:rsid w:val="00ED5D7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F600B"/>
  <w15:docId w15:val="{A4BBC9A5-D5F4-FE46-B9EB-C39374A6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mikelitzow/bold-new-pollock/tree/master/data" TargetMode="External"/><Relationship Id="rId12" Type="http://schemas.openxmlformats.org/officeDocument/2006/relationships/hyperlink" Target="https://doi.org/10.1038/s41598-020-63650-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1294</Words>
  <Characters>7379</Characters>
  <Application>Microsoft Office Word</Application>
  <DocSecurity>0</DocSecurity>
  <Lines>61</Lines>
  <Paragraphs>17</Paragraphs>
  <ScaleCrop>false</ScaleCrop>
  <Company/>
  <LinksUpToDate>false</LinksUpToDate>
  <CharactersWithSpaces>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Hwk 3 Genoa Sullaway</dc:title>
  <dc:creator/>
  <cp:keywords/>
  <cp:lastModifiedBy>Genoa Sullaway</cp:lastModifiedBy>
  <cp:revision>2</cp:revision>
  <dcterms:created xsi:type="dcterms:W3CDTF">2021-10-11T20:57:00Z</dcterms:created>
  <dcterms:modified xsi:type="dcterms:W3CDTF">2021-10-11T20:59:00Z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