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14871" w14:textId="77777777" w:rsidR="00630DDB" w:rsidRDefault="009A525D">
      <w:pPr>
        <w:pStyle w:val="Title"/>
      </w:pPr>
      <w:r>
        <w:t>Homework 3</w:t>
      </w:r>
    </w:p>
    <w:p w14:paraId="6F04CD5F" w14:textId="77777777" w:rsidR="00630DDB" w:rsidRDefault="009A525D">
      <w:pPr>
        <w:pStyle w:val="Subtitle"/>
      </w:pPr>
      <w:r>
        <w:t>Genoa Sullaway</w:t>
      </w:r>
    </w:p>
    <w:p w14:paraId="2647A9CE" w14:textId="77777777" w:rsidR="00630DDB" w:rsidRDefault="009A525D">
      <w:pPr>
        <w:pStyle w:val="Heading2"/>
      </w:pPr>
      <w:bookmarkStart w:id="0" w:name="preliminary-title"/>
      <w:r>
        <w:t>Preliminary Title:</w:t>
      </w:r>
    </w:p>
    <w:p w14:paraId="264A0ACC" w14:textId="77777777" w:rsidR="00630DDB" w:rsidRDefault="009A525D">
      <w:pPr>
        <w:pStyle w:val="FirstParagraph"/>
      </w:pPr>
      <w:r>
        <w:t xml:space="preserve">Evaluating spatial variability in </w:t>
      </w:r>
      <w:r>
        <w:rPr>
          <w:i/>
        </w:rPr>
        <w:t>Calanus marshallae</w:t>
      </w:r>
      <w:r>
        <w:t xml:space="preserve"> distribution during the 2014-2016 Marine Heatwave in the Eastern Bering Sea</w:t>
      </w:r>
    </w:p>
    <w:p w14:paraId="018CE81D" w14:textId="77777777" w:rsidR="00630DDB" w:rsidRDefault="009A525D">
      <w:pPr>
        <w:pStyle w:val="Heading2"/>
      </w:pPr>
      <w:bookmarkStart w:id="1" w:name="introductionbackground"/>
      <w:bookmarkEnd w:id="0"/>
      <w:r>
        <w:t>Introduction/Background:</w:t>
      </w:r>
    </w:p>
    <w:p w14:paraId="15B15643" w14:textId="77777777" w:rsidR="00630DDB" w:rsidRDefault="009A525D">
      <w:pPr>
        <w:pStyle w:val="FirstParagraph"/>
      </w:pPr>
      <w:r>
        <w:t>Marine heatwaves (MHW) have become more prevalent as anthropogenic climate change progresses (Frolicher et al. 2018). In the Northeast Pacific Ocean, the most recent MHW (2014-2016) resulted in mass mortalities and marine mammal strandings, species distrib</w:t>
      </w:r>
      <w:r>
        <w:t>ution shifts, fishery closures, and social-ecological network shifts (Cheng and Frolicher 2020, Fisher et al. 2021).</w:t>
      </w:r>
    </w:p>
    <w:p w14:paraId="4F4704E2" w14:textId="77777777" w:rsidR="00630DDB" w:rsidRDefault="009A525D">
      <w:pPr>
        <w:pStyle w:val="BodyText"/>
      </w:pPr>
      <w:r>
        <w:t>Primary and secondary production are tightly linked to oceanographic conditions and are thus heavily influenced by MHW’s. In the Eastern Be</w:t>
      </w:r>
      <w:r>
        <w:t xml:space="preserve">ring Sea (EBS), copepods such as </w:t>
      </w:r>
      <w:r>
        <w:rPr>
          <w:i/>
        </w:rPr>
        <w:t>C. marshallae</w:t>
      </w:r>
      <w:r>
        <w:t xml:space="preserve"> underpin the structure of the entire ecosystem. As high nutrient prey items, </w:t>
      </w:r>
      <w:r>
        <w:rPr>
          <w:i/>
        </w:rPr>
        <w:t>C. marshallae</w:t>
      </w:r>
      <w:r>
        <w:t xml:space="preserve"> support marine mammals, numerous subsistence fisheries and a billion-dollar Pollock fishery. However, copepod abundanc</w:t>
      </w:r>
      <w:r>
        <w:t>e and community composition are heavily regulated by environmental factors (Siddon et al 2013). During cold years, large nutritious copepods are abundant into the Fall and are key prey items for pollock (Siddon et al 2013), seabirds (Springer et al 1986) a</w:t>
      </w:r>
      <w:r>
        <w:t xml:space="preserve">nd marine mammals (Baumgartner et al. 2013). </w:t>
      </w:r>
      <w:r>
        <w:rPr>
          <w:i/>
        </w:rPr>
        <w:t>C. marshallae</w:t>
      </w:r>
      <w:r>
        <w:t xml:space="preserve"> abundance is tightly linked with pollock recruitment through the Oscillating Control Hypothesis (Kimmel et al. 2018). In warm stanzas, the zooplankton community is dominated by smaller species with</w:t>
      </w:r>
      <w:r>
        <w:t xml:space="preserve"> lower lipid content (Kimmel et al 2018) often resulting in poor pollock recruitment. This disruption in lipid-rich prey during warm years has negative effects that cascade throughout the EBS food webs and social-ecological networks.</w:t>
      </w:r>
    </w:p>
    <w:p w14:paraId="72932E73" w14:textId="77777777" w:rsidR="00630DDB" w:rsidRDefault="009A525D">
      <w:pPr>
        <w:pStyle w:val="BodyText"/>
      </w:pPr>
      <w:r>
        <w:t>Large scale climate ev</w:t>
      </w:r>
      <w:r>
        <w:t xml:space="preserve">ents can lead to increases in spatial synchrony across increasingly large distances (Hanson et al. 2020). MHW’s may increase synchrony in </w:t>
      </w:r>
      <w:r>
        <w:rPr>
          <w:i/>
        </w:rPr>
        <w:t>C. marshallae</w:t>
      </w:r>
      <w:r>
        <w:t xml:space="preserve"> abundance across the EBS, and this can have cascading negative effects through the ecosystem. Moreover, </w:t>
      </w:r>
      <w:r>
        <w:t xml:space="preserve">changes to spatial variability in </w:t>
      </w:r>
      <w:r>
        <w:rPr>
          <w:i/>
        </w:rPr>
        <w:t>C. marshallae</w:t>
      </w:r>
      <w:r>
        <w:t xml:space="preserve"> within warm years can have implications for future predator-prey overlap (Siddon et al 2013). This research aims to understand the spatial dynamics of </w:t>
      </w:r>
      <w:r>
        <w:rPr>
          <w:i/>
        </w:rPr>
        <w:t>C. marshallae</w:t>
      </w:r>
      <w:r>
        <w:t xml:space="preserve"> within warm years, and (if time allows) the</w:t>
      </w:r>
      <w:r>
        <w:t xml:space="preserve"> impact of successive warms years on abundance.</w:t>
      </w:r>
    </w:p>
    <w:p w14:paraId="1369D9EE" w14:textId="77777777" w:rsidR="00630DDB" w:rsidRDefault="009A525D">
      <w:pPr>
        <w:pStyle w:val="Heading2"/>
      </w:pPr>
      <w:bookmarkStart w:id="2" w:name="goals-and-objectives"/>
      <w:bookmarkEnd w:id="1"/>
      <w:r>
        <w:t>Goals and Objectives</w:t>
      </w:r>
    </w:p>
    <w:p w14:paraId="5EDA4584" w14:textId="77777777" w:rsidR="00630DDB" w:rsidRDefault="009A525D">
      <w:pPr>
        <w:pStyle w:val="FirstParagraph"/>
      </w:pPr>
      <w:r>
        <w:t xml:space="preserve">The research question I would like to address is: Is there spatial variation in </w:t>
      </w:r>
      <w:r>
        <w:rPr>
          <w:i/>
        </w:rPr>
        <w:t>C. marshallae</w:t>
      </w:r>
      <w:r>
        <w:t xml:space="preserve"> abundance during the 2014-2016 Marine Heatwave in the Eastern Bering Sea?</w:t>
      </w:r>
    </w:p>
    <w:p w14:paraId="76A9D2C9" w14:textId="77777777" w:rsidR="00630DDB" w:rsidRDefault="009A525D">
      <w:pPr>
        <w:pStyle w:val="BodyText"/>
      </w:pPr>
      <w:r>
        <w:lastRenderedPageBreak/>
        <w:t>Warm stanzas and ma</w:t>
      </w:r>
      <w:r>
        <w:t xml:space="preserve">rine heatwaves are predicted to become more common in the EBS. I want to understand the spatial variability for </w:t>
      </w:r>
      <w:r>
        <w:rPr>
          <w:i/>
        </w:rPr>
        <w:t>C. marshallae</w:t>
      </w:r>
      <w:r>
        <w:t xml:space="preserve"> among warm years, to ultimately inform the spatial availability of </w:t>
      </w:r>
      <w:r>
        <w:rPr>
          <w:i/>
        </w:rPr>
        <w:t>C. marshallae</w:t>
      </w:r>
      <w:r>
        <w:t xml:space="preserve"> prey for higher trophic levels. Does the EBS beco</w:t>
      </w:r>
      <w:r>
        <w:t>me a “food desert” for higher trophic levels or are there certain spatial refuges during warm years?</w:t>
      </w:r>
    </w:p>
    <w:p w14:paraId="6C085032" w14:textId="77777777" w:rsidR="00630DDB" w:rsidRDefault="009A525D">
      <w:pPr>
        <w:pStyle w:val="BodyText"/>
      </w:pPr>
      <w:r>
        <w:t xml:space="preserve">Generally, copepod abundance and phenology are tightly linked to oceanographic conditions. I expect variation in temperature to be a strong predictor in </w:t>
      </w:r>
      <w:r>
        <w:rPr>
          <w:i/>
        </w:rPr>
        <w:t>C.</w:t>
      </w:r>
      <w:r>
        <w:rPr>
          <w:i/>
        </w:rPr>
        <w:t xml:space="preserve"> marshallae</w:t>
      </w:r>
      <w:r>
        <w:t xml:space="preserve"> CPUE. Specifically, I expect a negative linear or second order polynomial relationship between temperature and </w:t>
      </w:r>
      <w:r>
        <w:rPr>
          <w:i/>
        </w:rPr>
        <w:t>C. marshallae</w:t>
      </w:r>
      <w:r>
        <w:t xml:space="preserve"> abundance. I have not found evidence of a non-linear relationship like this in the literature, but I could imagine a th</w:t>
      </w:r>
      <w:r>
        <w:t xml:space="preserve">reshold effect where temperature gets too high and </w:t>
      </w:r>
      <w:r>
        <w:rPr>
          <w:i/>
        </w:rPr>
        <w:t>C. marshallae</w:t>
      </w:r>
      <w:r>
        <w:t xml:space="preserve"> abundance is consistently low past a certain high temperature threshold. Additionally, I expect an effect of year as the MHW progresses, ie. I expect 2014 to be different than 2016 because of</w:t>
      </w:r>
      <w:r>
        <w:t xml:space="preserve"> cumulative impacts of warm years. I expect </w:t>
      </w:r>
      <w:r>
        <w:rPr>
          <w:i/>
        </w:rPr>
        <w:t>C. marshallae</w:t>
      </w:r>
      <w:r>
        <w:t xml:space="preserve"> to be more abundant in the northern inner shelves compared to the southern and outer shelves, but mediated by temperature (Kimmel et al 2018).</w:t>
      </w:r>
    </w:p>
    <w:p w14:paraId="15F96CA7" w14:textId="77777777" w:rsidR="00630DDB" w:rsidRDefault="009A525D">
      <w:pPr>
        <w:pStyle w:val="BodyText"/>
      </w:pPr>
      <w:r>
        <w:t>Proportional wind direction has a significant impact on</w:t>
      </w:r>
      <w:r>
        <w:t xml:space="preserve"> the Bering Sea ecosystem (Danielson et al 2012), I expect a positive linear relationship between the proportion of NE wind and </w:t>
      </w:r>
      <w:r>
        <w:rPr>
          <w:i/>
        </w:rPr>
        <w:t>C. marshallae</w:t>
      </w:r>
      <w:r>
        <w:t xml:space="preserve"> CPUE, because NW wind encourages colder conditions and southern ice flow. Additionally, I expect a negative linear</w:t>
      </w:r>
      <w:r>
        <w:t xml:space="preserve"> relationship between proportion of SE wind and </w:t>
      </w:r>
      <w:r>
        <w:rPr>
          <w:i/>
        </w:rPr>
        <w:t>C. marshallae</w:t>
      </w:r>
      <w:r>
        <w:t xml:space="preserve"> CPUE, however I expect SW winds to be more prevalent during the MHW years that I am examining.</w:t>
      </w:r>
    </w:p>
    <w:p w14:paraId="1CC9F818" w14:textId="77777777" w:rsidR="00630DDB" w:rsidRDefault="009A525D">
      <w:pPr>
        <w:pStyle w:val="Heading2"/>
      </w:pPr>
      <w:bookmarkStart w:id="3" w:name="data-description-collection-methods"/>
      <w:bookmarkEnd w:id="2"/>
      <w:r>
        <w:t>Data Description &amp; Collection Methods</w:t>
      </w:r>
    </w:p>
    <w:p w14:paraId="0B3F77C1" w14:textId="77777777" w:rsidR="00630DDB" w:rsidRDefault="009A525D">
      <w:pPr>
        <w:pStyle w:val="FirstParagraph"/>
      </w:pPr>
      <w:r>
        <w:t>Data were collected by NOAA AFSC ECOFOCI during at-sea oceano</w:t>
      </w:r>
      <w:r>
        <w:t xml:space="preserve">graphic cruises in the Eastern Bering Sea (Figure 1). Zooplankton data were provided by Dr. Dave Kimmel. The response variable is </w:t>
      </w:r>
      <w:r>
        <w:rPr>
          <w:i/>
        </w:rPr>
        <w:t>Calanus marshallae</w:t>
      </w:r>
      <w:r>
        <w:t xml:space="preserve"> catch per unit effort (CPUE) (individuals m^3) for each station (each point in Figure 1) sampled in each ye</w:t>
      </w:r>
      <w:r>
        <w:t>ar of the recent MHW (2014-2016).</w:t>
      </w:r>
    </w:p>
    <w:p w14:paraId="1CE1E216" w14:textId="77777777" w:rsidR="00630DDB" w:rsidRDefault="009A525D">
      <w:pPr>
        <w:pStyle w:val="BodyText"/>
      </w:pPr>
      <w:r>
        <w:t>Zooplankton data are collected annually on NOAA oceanographic cruises from April-October, however the spatial and temporal schedule is unbalanced from year to year (Figure 1). Copepods are collected using paired bongo nets</w:t>
      </w:r>
      <w:r>
        <w:t xml:space="preserve"> (20cm frame, 150um mesh and a 60cm frame, 333 um mesh) on oblique tows. The tow depth varies by station and is not necessarily related to bottom depth. If bottom depth is less than 100m, max tow depth is 5-10m above the bottom. However, if max bottom dept</w:t>
      </w:r>
      <w:r>
        <w:t xml:space="preserve">h is deeper than 100m the max gear depth can vary depending on the sea state, most tows are not deeper than 300m. The samples are identified to lowest taxonomic level and sorted into different stages (C-1 to C-6), however for this analysis I have summed </w:t>
      </w:r>
      <w:r>
        <w:rPr>
          <w:i/>
        </w:rPr>
        <w:t>C.</w:t>
      </w:r>
      <w:r>
        <w:rPr>
          <w:i/>
        </w:rPr>
        <w:t xml:space="preserve"> marshallae</w:t>
      </w:r>
      <w:r>
        <w:t xml:space="preserve"> CPUE across life stages.</w:t>
      </w:r>
    </w:p>
    <w:p w14:paraId="20AB1799" w14:textId="77777777" w:rsidR="00630DDB" w:rsidRDefault="009A525D">
      <w:pPr>
        <w:pStyle w:val="BodyText"/>
      </w:pPr>
      <w:r>
        <w:t xml:space="preserve">Some covariate data is collected onboard the ship, for example maximum bottom depth and gear depth are recorded on the zooplankton gear deployment. Salinity and temperature covariates were collected from CTD casts done </w:t>
      </w:r>
      <w:r>
        <w:t>in parallel to zooplankton net casts.</w:t>
      </w:r>
    </w:p>
    <w:p w14:paraId="5EB5057F" w14:textId="77777777" w:rsidR="00630DDB" w:rsidRDefault="009A525D">
      <w:pPr>
        <w:pStyle w:val="BodyText"/>
      </w:pPr>
      <w:r>
        <w:t xml:space="preserve">Covariates such as proportional daily wind direction and cold pool extent were downloaded from publicly available climate dataset provided by Dr. Mike Litzlow (NOAA AFSC, </w:t>
      </w:r>
      <w:hyperlink r:id="rId7">
        <w:r>
          <w:rPr>
            <w:rStyle w:val="Hyperlink"/>
          </w:rPr>
          <w:t>https://github.com/mikelitzow/bold-new-pollock/tree/master/data</w:t>
        </w:r>
      </w:hyperlink>
      <w:r>
        <w:t xml:space="preserve">). The </w:t>
      </w:r>
      <w:r>
        <w:lastRenderedPageBreak/>
        <w:t>proportion of daily wind from the SE/NW from May to September is used as a simple index for changes in Bering Sea advection (Danielson et al 2012). Su</w:t>
      </w:r>
      <w:r>
        <w:t>mmer cold pool extent is calculated on the NMFS bottom trawl survey. Finally, we use Domain as a covariate to represent the Ortiz Regions. These regions have been established based on known differences across oceanographic breaks in the Bering Sea.</w:t>
      </w:r>
    </w:p>
    <w:p w14:paraId="61A0CCD3" w14:textId="77777777" w:rsidR="00630DDB" w:rsidRDefault="009A525D">
      <w:pPr>
        <w:pStyle w:val="BodyText"/>
      </w:pPr>
      <w:r>
        <w:t>Explora</w:t>
      </w:r>
      <w:r>
        <w:t xml:space="preserve">tory data analysis demonstrate that there is unbalanced sampling of stations across years (Table 1, Figure 1). Exploratory plots indicate spatial variability in </w:t>
      </w:r>
      <w:r>
        <w:rPr>
          <w:i/>
        </w:rPr>
        <w:t>C. marshallae</w:t>
      </w:r>
      <w:r>
        <w:t xml:space="preserve"> abundance and temperature throughout the EBS (Figure 1 and 2). A coplot of select</w:t>
      </w:r>
      <w:r>
        <w:t xml:space="preserve"> covariates indicate possible relationships between depth, salinity and temperature. We see that there is more variation in temperature and salinity at shallower depths across years (Figure 3). It also appears there is generally less variation in temperatu</w:t>
      </w:r>
      <w:r>
        <w:t>re at depth, which is expected based on the differences in water mixing. Interestingly, temperatures at depth is warmer and less variable as the MHW progresses (Figure 3).</w:t>
      </w:r>
    </w:p>
    <w:p w14:paraId="70DEA5DF" w14:textId="77777777" w:rsidR="00630DDB" w:rsidRDefault="009A525D">
      <w:pPr>
        <w:pStyle w:val="TableCaption"/>
      </w:pPr>
      <w:r>
        <w:t>Table 1. Table of data structure</w:t>
      </w:r>
    </w:p>
    <w:tbl>
      <w:tblPr>
        <w:tblStyle w:val="Table"/>
        <w:tblW w:w="0" w:type="pct"/>
        <w:tblLook w:val="0020" w:firstRow="1" w:lastRow="0" w:firstColumn="0" w:lastColumn="0" w:noHBand="0" w:noVBand="0"/>
        <w:tblCaption w:val="Table 1. Table of data structure"/>
      </w:tblPr>
      <w:tblGrid>
        <w:gridCol w:w="4369"/>
        <w:gridCol w:w="1784"/>
      </w:tblGrid>
      <w:tr w:rsidR="00630DDB" w14:paraId="379100D8" w14:textId="77777777">
        <w:tc>
          <w:tcPr>
            <w:tcW w:w="0" w:type="auto"/>
            <w:tcBorders>
              <w:bottom w:val="single" w:sz="0" w:space="0" w:color="auto"/>
            </w:tcBorders>
            <w:vAlign w:val="bottom"/>
          </w:tcPr>
          <w:p w14:paraId="288E5972" w14:textId="77777777" w:rsidR="00630DDB" w:rsidRDefault="009A525D">
            <w:pPr>
              <w:pStyle w:val="Compact"/>
            </w:pPr>
            <w:r>
              <w:t>Variable</w:t>
            </w:r>
          </w:p>
        </w:tc>
        <w:tc>
          <w:tcPr>
            <w:tcW w:w="0" w:type="auto"/>
            <w:tcBorders>
              <w:bottom w:val="single" w:sz="0" w:space="0" w:color="auto"/>
            </w:tcBorders>
            <w:vAlign w:val="bottom"/>
          </w:tcPr>
          <w:p w14:paraId="780A2096" w14:textId="77777777" w:rsidR="00630DDB" w:rsidRDefault="009A525D">
            <w:pPr>
              <w:pStyle w:val="Compact"/>
            </w:pPr>
            <w:r>
              <w:t>Value</w:t>
            </w:r>
          </w:p>
        </w:tc>
      </w:tr>
      <w:tr w:rsidR="00630DDB" w14:paraId="0C488EE8" w14:textId="77777777">
        <w:tc>
          <w:tcPr>
            <w:tcW w:w="0" w:type="auto"/>
          </w:tcPr>
          <w:p w14:paraId="50DA3D1A" w14:textId="77777777" w:rsidR="00630DDB" w:rsidRDefault="009A525D">
            <w:pPr>
              <w:pStyle w:val="Compact"/>
            </w:pPr>
            <w:r>
              <w:t>Stations surveyed per year, 2014</w:t>
            </w:r>
          </w:p>
        </w:tc>
        <w:tc>
          <w:tcPr>
            <w:tcW w:w="0" w:type="auto"/>
          </w:tcPr>
          <w:p w14:paraId="5F66F818" w14:textId="77777777" w:rsidR="00630DDB" w:rsidRDefault="009A525D">
            <w:pPr>
              <w:pStyle w:val="Compact"/>
            </w:pPr>
            <w:r>
              <w:t>242</w:t>
            </w:r>
          </w:p>
        </w:tc>
      </w:tr>
      <w:tr w:rsidR="00630DDB" w14:paraId="66FED427" w14:textId="77777777">
        <w:tc>
          <w:tcPr>
            <w:tcW w:w="0" w:type="auto"/>
          </w:tcPr>
          <w:p w14:paraId="569F1A1E" w14:textId="77777777" w:rsidR="00630DDB" w:rsidRDefault="009A525D">
            <w:pPr>
              <w:pStyle w:val="Compact"/>
            </w:pPr>
            <w:r>
              <w:t>Stations surveyed per year, 2015</w:t>
            </w:r>
          </w:p>
        </w:tc>
        <w:tc>
          <w:tcPr>
            <w:tcW w:w="0" w:type="auto"/>
          </w:tcPr>
          <w:p w14:paraId="30B9E7D0" w14:textId="77777777" w:rsidR="00630DDB" w:rsidRDefault="009A525D">
            <w:pPr>
              <w:pStyle w:val="Compact"/>
            </w:pPr>
            <w:r>
              <w:t>93</w:t>
            </w:r>
          </w:p>
        </w:tc>
      </w:tr>
      <w:tr w:rsidR="00630DDB" w14:paraId="227B492C" w14:textId="77777777">
        <w:tc>
          <w:tcPr>
            <w:tcW w:w="0" w:type="auto"/>
          </w:tcPr>
          <w:p w14:paraId="591DC1D8" w14:textId="77777777" w:rsidR="00630DDB" w:rsidRDefault="009A525D">
            <w:pPr>
              <w:pStyle w:val="Compact"/>
            </w:pPr>
            <w:r>
              <w:t>Stations surveyed per year, 2016</w:t>
            </w:r>
          </w:p>
        </w:tc>
        <w:tc>
          <w:tcPr>
            <w:tcW w:w="0" w:type="auto"/>
          </w:tcPr>
          <w:p w14:paraId="65A267F7" w14:textId="77777777" w:rsidR="00630DDB" w:rsidRDefault="009A525D">
            <w:pPr>
              <w:pStyle w:val="Compact"/>
            </w:pPr>
            <w:r>
              <w:t>212</w:t>
            </w:r>
          </w:p>
        </w:tc>
      </w:tr>
      <w:tr w:rsidR="00630DDB" w14:paraId="16003827" w14:textId="77777777">
        <w:tc>
          <w:tcPr>
            <w:tcW w:w="0" w:type="auto"/>
          </w:tcPr>
          <w:p w14:paraId="6EB2D9AC" w14:textId="77777777" w:rsidR="00630DDB" w:rsidRDefault="009A525D">
            <w:pPr>
              <w:pStyle w:val="Compact"/>
            </w:pPr>
            <w:r>
              <w:t>Survey Depth m (Min, Max)</w:t>
            </w:r>
          </w:p>
        </w:tc>
        <w:tc>
          <w:tcPr>
            <w:tcW w:w="0" w:type="auto"/>
          </w:tcPr>
          <w:p w14:paraId="5E55A0A1" w14:textId="77777777" w:rsidR="00630DDB" w:rsidRDefault="009A525D">
            <w:pPr>
              <w:pStyle w:val="Compact"/>
            </w:pPr>
            <w:r>
              <w:t>12 - 302</w:t>
            </w:r>
          </w:p>
        </w:tc>
      </w:tr>
      <w:tr w:rsidR="00630DDB" w14:paraId="1CA00FF2" w14:textId="77777777">
        <w:tc>
          <w:tcPr>
            <w:tcW w:w="0" w:type="auto"/>
          </w:tcPr>
          <w:p w14:paraId="2176E6B8" w14:textId="77777777" w:rsidR="00630DDB" w:rsidRDefault="009A525D">
            <w:pPr>
              <w:pStyle w:val="Compact"/>
            </w:pPr>
            <w:r>
              <w:t>Gear Type</w:t>
            </w:r>
          </w:p>
        </w:tc>
        <w:tc>
          <w:tcPr>
            <w:tcW w:w="0" w:type="auto"/>
          </w:tcPr>
          <w:p w14:paraId="697DDD4F" w14:textId="77777777" w:rsidR="00630DDB" w:rsidRDefault="009A525D">
            <w:pPr>
              <w:pStyle w:val="Compact"/>
            </w:pPr>
            <w:r>
              <w:t>60BON, 20BON</w:t>
            </w:r>
          </w:p>
        </w:tc>
      </w:tr>
      <w:tr w:rsidR="00630DDB" w14:paraId="5F2097EC" w14:textId="77777777">
        <w:tc>
          <w:tcPr>
            <w:tcW w:w="0" w:type="auto"/>
          </w:tcPr>
          <w:p w14:paraId="43906E23" w14:textId="77777777" w:rsidR="00630DDB" w:rsidRDefault="009A525D">
            <w:pPr>
              <w:pStyle w:val="Compact"/>
            </w:pPr>
            <w:r>
              <w:t>Salinity ppm (Min, Max)</w:t>
            </w:r>
          </w:p>
        </w:tc>
        <w:tc>
          <w:tcPr>
            <w:tcW w:w="0" w:type="auto"/>
          </w:tcPr>
          <w:p w14:paraId="16DE0989" w14:textId="77777777" w:rsidR="00630DDB" w:rsidRDefault="009A525D">
            <w:pPr>
              <w:pStyle w:val="Compact"/>
            </w:pPr>
            <w:r>
              <w:t>21 - 33</w:t>
            </w:r>
          </w:p>
        </w:tc>
      </w:tr>
      <w:tr w:rsidR="00630DDB" w14:paraId="5020F4E8" w14:textId="77777777">
        <w:tc>
          <w:tcPr>
            <w:tcW w:w="0" w:type="auto"/>
          </w:tcPr>
          <w:p w14:paraId="007119B2" w14:textId="77777777" w:rsidR="00630DDB" w:rsidRDefault="009A525D">
            <w:pPr>
              <w:pStyle w:val="Compact"/>
            </w:pPr>
            <w:r>
              <w:t>Temperature C (Min, Max)</w:t>
            </w:r>
          </w:p>
        </w:tc>
        <w:tc>
          <w:tcPr>
            <w:tcW w:w="0" w:type="auto"/>
          </w:tcPr>
          <w:p w14:paraId="0DF376CB" w14:textId="77777777" w:rsidR="00630DDB" w:rsidRDefault="009A525D">
            <w:pPr>
              <w:pStyle w:val="Compact"/>
            </w:pPr>
            <w:r>
              <w:t>-1 - 13</w:t>
            </w:r>
          </w:p>
        </w:tc>
      </w:tr>
      <w:tr w:rsidR="00630DDB" w14:paraId="3FC4DD5C" w14:textId="77777777">
        <w:tc>
          <w:tcPr>
            <w:tcW w:w="0" w:type="auto"/>
          </w:tcPr>
          <w:p w14:paraId="1B603F3D" w14:textId="77777777" w:rsidR="00630DDB" w:rsidRDefault="009A525D">
            <w:pPr>
              <w:pStyle w:val="Compact"/>
            </w:pPr>
            <w:r>
              <w:t>Proportion Daily SE Wind (Min, Max)</w:t>
            </w:r>
          </w:p>
        </w:tc>
        <w:tc>
          <w:tcPr>
            <w:tcW w:w="0" w:type="auto"/>
          </w:tcPr>
          <w:p w14:paraId="5666C5F3" w14:textId="77777777" w:rsidR="00630DDB" w:rsidRDefault="009A525D">
            <w:pPr>
              <w:pStyle w:val="Compact"/>
            </w:pPr>
            <w:r>
              <w:t>0.22 - 0.26</w:t>
            </w:r>
          </w:p>
        </w:tc>
      </w:tr>
      <w:tr w:rsidR="00630DDB" w14:paraId="56094B90" w14:textId="77777777">
        <w:tc>
          <w:tcPr>
            <w:tcW w:w="0" w:type="auto"/>
          </w:tcPr>
          <w:p w14:paraId="7E6CE357" w14:textId="77777777" w:rsidR="00630DDB" w:rsidRDefault="009A525D">
            <w:pPr>
              <w:pStyle w:val="Compact"/>
            </w:pPr>
            <w:r>
              <w:t>Propotion Daily NW Wind (Min, Max)</w:t>
            </w:r>
          </w:p>
        </w:tc>
        <w:tc>
          <w:tcPr>
            <w:tcW w:w="0" w:type="auto"/>
          </w:tcPr>
          <w:p w14:paraId="325A8767" w14:textId="77777777" w:rsidR="00630DDB" w:rsidRDefault="009A525D">
            <w:pPr>
              <w:pStyle w:val="Compact"/>
            </w:pPr>
            <w:r>
              <w:t>0.12 - 0.19</w:t>
            </w:r>
          </w:p>
        </w:tc>
      </w:tr>
      <w:tr w:rsidR="00630DDB" w14:paraId="5A01195E" w14:textId="77777777">
        <w:tc>
          <w:tcPr>
            <w:tcW w:w="0" w:type="auto"/>
          </w:tcPr>
          <w:p w14:paraId="3DA4C8A7" w14:textId="77777777" w:rsidR="00630DDB" w:rsidRDefault="009A525D">
            <w:pPr>
              <w:pStyle w:val="Compact"/>
            </w:pPr>
            <w:r>
              <w:t>Summer Cold Pool Extent km (Min, Max)</w:t>
            </w:r>
          </w:p>
        </w:tc>
        <w:tc>
          <w:tcPr>
            <w:tcW w:w="0" w:type="auto"/>
          </w:tcPr>
          <w:p w14:paraId="75B27360" w14:textId="77777777" w:rsidR="00630DDB" w:rsidRDefault="009A525D">
            <w:pPr>
              <w:pStyle w:val="Compact"/>
            </w:pPr>
            <w:r>
              <w:t>25664 - 36491</w:t>
            </w:r>
          </w:p>
        </w:tc>
      </w:tr>
    </w:tbl>
    <w:p w14:paraId="77370FC6" w14:textId="77777777" w:rsidR="00630DDB" w:rsidRDefault="009A525D">
      <w:pPr>
        <w:pStyle w:val="BodyText"/>
      </w:pPr>
      <w:r>
        <w:t xml:space="preserve">I will need to test for multicolinearity across covariates, it is likely I do not need all the covariates </w:t>
      </w:r>
      <w:r>
        <w:t>I propose below. For example, depth, temperature and Ortiz region may be confounded since Ortiz regions were delineated based on oceanographic bounds and shelf breaks that differ by depth and temperature.</w:t>
      </w:r>
    </w:p>
    <w:p w14:paraId="16651CF6" w14:textId="77777777" w:rsidR="00630DDB" w:rsidRDefault="009A525D">
      <w:pPr>
        <w:pStyle w:val="CaptionedFigure"/>
      </w:pPr>
      <w:r>
        <w:rPr>
          <w:noProof/>
        </w:rPr>
        <w:lastRenderedPageBreak/>
        <w:drawing>
          <wp:inline distT="0" distB="0" distL="0" distR="0" wp14:anchorId="6AF0A679" wp14:editId="2D2F6991">
            <wp:extent cx="5334000" cy="2370666"/>
            <wp:effectExtent l="0" t="0" r="0" b="0"/>
            <wp:docPr id="1" name="Picture" descr="Figure 1. C. marshallae log CPUE (individuals m^3) in the Eastern Bering Sea, where a point indicates a station where a survey was conducted, each facet represents a year, color indicates the log CPUE of C. marshallae at each station in each year"/>
            <wp:cNvGraphicFramePr/>
            <a:graphic xmlns:a="http://schemas.openxmlformats.org/drawingml/2006/main">
              <a:graphicData uri="http://schemas.openxmlformats.org/drawingml/2006/picture">
                <pic:pic xmlns:pic="http://schemas.openxmlformats.org/drawingml/2006/picture">
                  <pic:nvPicPr>
                    <pic:cNvPr id="0" name="Picture" descr="Hwk-3-Genoa-Sullaway_files/figure-docx/PLOT%20ALL%20DATA-1.png"/>
                    <pic:cNvPicPr>
                      <a:picLocks noChangeAspect="1" noChangeArrowheads="1"/>
                    </pic:cNvPicPr>
                  </pic:nvPicPr>
                  <pic:blipFill>
                    <a:blip r:embed="rId8"/>
                    <a:stretch>
                      <a:fillRect/>
                    </a:stretch>
                  </pic:blipFill>
                  <pic:spPr bwMode="auto">
                    <a:xfrm>
                      <a:off x="0" y="0"/>
                      <a:ext cx="5334000" cy="2370666"/>
                    </a:xfrm>
                    <a:prstGeom prst="rect">
                      <a:avLst/>
                    </a:prstGeom>
                    <a:noFill/>
                    <a:ln w="9525">
                      <a:noFill/>
                      <a:headEnd/>
                      <a:tailEnd/>
                    </a:ln>
                  </pic:spPr>
                </pic:pic>
              </a:graphicData>
            </a:graphic>
          </wp:inline>
        </w:drawing>
      </w:r>
    </w:p>
    <w:p w14:paraId="4014D0ED" w14:textId="77777777" w:rsidR="00630DDB" w:rsidRDefault="009A525D">
      <w:pPr>
        <w:pStyle w:val="ImageCaption"/>
      </w:pPr>
      <w:r>
        <w:t xml:space="preserve">Figure 1. </w:t>
      </w:r>
      <w:r>
        <w:t>C. marshallae</w:t>
      </w:r>
      <w:r>
        <w:t xml:space="preserve"> log CPUE (individuals m^3</w:t>
      </w:r>
      <w:r>
        <w:t xml:space="preserve">) in the Eastern Bering Sea, where a point indicates a station where a survey was conducted, each facet represents a year, color indicates the log CPUE of </w:t>
      </w:r>
      <w:r>
        <w:t>C. marshallae</w:t>
      </w:r>
      <w:r>
        <w:t xml:space="preserve"> at each station in each year</w:t>
      </w:r>
    </w:p>
    <w:p w14:paraId="799FD97A" w14:textId="77777777" w:rsidR="00630DDB" w:rsidRDefault="009A525D">
      <w:pPr>
        <w:pStyle w:val="CaptionedFigure"/>
      </w:pPr>
      <w:r>
        <w:rPr>
          <w:noProof/>
        </w:rPr>
        <w:drawing>
          <wp:inline distT="0" distB="0" distL="0" distR="0" wp14:anchorId="0EF1B206" wp14:editId="69475B8E">
            <wp:extent cx="5334000" cy="2370666"/>
            <wp:effectExtent l="0" t="0" r="0" b="0"/>
            <wp:docPr id="2" name="Picture" descr="Figure 2. Eastern Bering Sea temperature data (C) where a point indicates a station where a survey was conducted, each facet represents a year, color indicates the mean temperature at each station in each year"/>
            <wp:cNvGraphicFramePr/>
            <a:graphic xmlns:a="http://schemas.openxmlformats.org/drawingml/2006/main">
              <a:graphicData uri="http://schemas.openxmlformats.org/drawingml/2006/picture">
                <pic:pic xmlns:pic="http://schemas.openxmlformats.org/drawingml/2006/picture">
                  <pic:nvPicPr>
                    <pic:cNvPr id="0" name="Picture" descr="Hwk-3-Genoa-Sullaway_files/figure-docx/PLOT%20TEMPERATURE-1.png"/>
                    <pic:cNvPicPr>
                      <a:picLocks noChangeAspect="1" noChangeArrowheads="1"/>
                    </pic:cNvPicPr>
                  </pic:nvPicPr>
                  <pic:blipFill>
                    <a:blip r:embed="rId9"/>
                    <a:stretch>
                      <a:fillRect/>
                    </a:stretch>
                  </pic:blipFill>
                  <pic:spPr bwMode="auto">
                    <a:xfrm>
                      <a:off x="0" y="0"/>
                      <a:ext cx="5334000" cy="2370666"/>
                    </a:xfrm>
                    <a:prstGeom prst="rect">
                      <a:avLst/>
                    </a:prstGeom>
                    <a:noFill/>
                    <a:ln w="9525">
                      <a:noFill/>
                      <a:headEnd/>
                      <a:tailEnd/>
                    </a:ln>
                  </pic:spPr>
                </pic:pic>
              </a:graphicData>
            </a:graphic>
          </wp:inline>
        </w:drawing>
      </w:r>
    </w:p>
    <w:p w14:paraId="0467252B" w14:textId="77777777" w:rsidR="00630DDB" w:rsidRDefault="009A525D">
      <w:pPr>
        <w:pStyle w:val="ImageCaption"/>
      </w:pPr>
      <w:r>
        <w:t xml:space="preserve">Figure 2. Eastern Bering Sea temperature data (C) where </w:t>
      </w:r>
      <w:r>
        <w:t>a point indicates a station where a survey was conducted, each facet represents a year, color indicates the mean temperature at each station in each year</w:t>
      </w:r>
    </w:p>
    <w:p w14:paraId="0409A23D" w14:textId="77777777" w:rsidR="00630DDB" w:rsidRDefault="009A525D">
      <w:pPr>
        <w:pStyle w:val="CaptionedFigure"/>
      </w:pPr>
      <w:r>
        <w:rPr>
          <w:noProof/>
        </w:rPr>
        <w:lastRenderedPageBreak/>
        <w:drawing>
          <wp:inline distT="0" distB="0" distL="0" distR="0" wp14:anchorId="71904C72" wp14:editId="47D1A6E7">
            <wp:extent cx="5334000" cy="4267200"/>
            <wp:effectExtent l="0" t="0" r="0" b="0"/>
            <wp:docPr id="3" name="Picture" descr="Figure 3. Relationship between some covariates used in the analysis, temperature, salinity, maximum gear depth and year from stations where zooplankton were surveyed"/>
            <wp:cNvGraphicFramePr/>
            <a:graphic xmlns:a="http://schemas.openxmlformats.org/drawingml/2006/main">
              <a:graphicData uri="http://schemas.openxmlformats.org/drawingml/2006/picture">
                <pic:pic xmlns:pic="http://schemas.openxmlformats.org/drawingml/2006/picture">
                  <pic:nvPicPr>
                    <pic:cNvPr id="0" name="Picture" descr="Hwk-3-Genoa-Sullaway_files/figure-docx/plot%20coplot%20depth%20SST%20and%20salinity-1.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00A1B9CF" w14:textId="77777777" w:rsidR="00630DDB" w:rsidRDefault="009A525D">
      <w:pPr>
        <w:pStyle w:val="ImageCaption"/>
      </w:pPr>
      <w:r>
        <w:t xml:space="preserve">Figure 3. Relationship between some covariates used in the analysis, temperature, salinity, maximum </w:t>
      </w:r>
      <w:r>
        <w:t>gear depth and year from stations where zooplankton were surveyed</w:t>
      </w:r>
    </w:p>
    <w:p w14:paraId="5761DDCA" w14:textId="77777777" w:rsidR="00630DDB" w:rsidRDefault="009A525D">
      <w:pPr>
        <w:pStyle w:val="CaptionedFigure"/>
      </w:pPr>
      <w:r>
        <w:rPr>
          <w:noProof/>
        </w:rPr>
        <w:lastRenderedPageBreak/>
        <w:drawing>
          <wp:inline distT="0" distB="0" distL="0" distR="0" wp14:anchorId="50FCBE90" wp14:editId="0B278191">
            <wp:extent cx="5334000" cy="4267200"/>
            <wp:effectExtent l="0" t="0" r="0" b="0"/>
            <wp:docPr id="4" name="Picture" descr="Figure 4a. Log-transformed CPUE (individuals m^3) for the complete C. marshallae dataset"/>
            <wp:cNvGraphicFramePr/>
            <a:graphic xmlns:a="http://schemas.openxmlformats.org/drawingml/2006/main">
              <a:graphicData uri="http://schemas.openxmlformats.org/drawingml/2006/picture">
                <pic:pic xmlns:pic="http://schemas.openxmlformats.org/drawingml/2006/picture">
                  <pic:nvPicPr>
                    <pic:cNvPr id="0" name="Picture" descr="Hwk-3-Genoa-Sullaway_files/figure-docx/data%20histogram-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608672F0" w14:textId="77777777" w:rsidR="00630DDB" w:rsidRDefault="009A525D">
      <w:pPr>
        <w:pStyle w:val="ImageCaption"/>
      </w:pPr>
      <w:r>
        <w:t xml:space="preserve">Figure 4a. Log-transformed CPUE (individuals m^3) for the complete </w:t>
      </w:r>
      <w:r>
        <w:t>C. marshallae</w:t>
      </w:r>
      <w:r>
        <w:t xml:space="preserve"> dataset</w:t>
      </w:r>
    </w:p>
    <w:p w14:paraId="20F43D5A" w14:textId="77777777" w:rsidR="00630DDB" w:rsidRDefault="009A525D">
      <w:pPr>
        <w:pStyle w:val="CaptionedFigure"/>
      </w:pPr>
      <w:r>
        <w:rPr>
          <w:noProof/>
        </w:rPr>
        <w:lastRenderedPageBreak/>
        <w:drawing>
          <wp:inline distT="0" distB="0" distL="0" distR="0" wp14:anchorId="05A256B2" wp14:editId="3FE494ED">
            <wp:extent cx="5334000" cy="4267200"/>
            <wp:effectExtent l="0" t="0" r="0" b="0"/>
            <wp:docPr id="5" name="Picture" descr="Figure 4b. Log-transformed C. marshallae CPUE (individuals m^3) by year"/>
            <wp:cNvGraphicFramePr/>
            <a:graphic xmlns:a="http://schemas.openxmlformats.org/drawingml/2006/main">
              <a:graphicData uri="http://schemas.openxmlformats.org/drawingml/2006/picture">
                <pic:pic xmlns:pic="http://schemas.openxmlformats.org/drawingml/2006/picture">
                  <pic:nvPicPr>
                    <pic:cNvPr id="0" name="Picture" descr="Hwk-3-Genoa-Sullaway_files/figure-docx/by%20year%20data%20histogram-1.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54E26934" w14:textId="77777777" w:rsidR="00630DDB" w:rsidRDefault="009A525D">
      <w:pPr>
        <w:pStyle w:val="ImageCaption"/>
      </w:pPr>
      <w:r>
        <w:t xml:space="preserve">Figure 4b. Log-transformed </w:t>
      </w:r>
      <w:r>
        <w:t>C. marshallae</w:t>
      </w:r>
      <w:r>
        <w:t xml:space="preserve"> CPUE (individuals m^3) by year</w:t>
      </w:r>
    </w:p>
    <w:p w14:paraId="0CEAE2FC" w14:textId="77777777" w:rsidR="00630DDB" w:rsidRDefault="009A525D">
      <w:pPr>
        <w:pStyle w:val="Heading2"/>
      </w:pPr>
      <w:bookmarkStart w:id="4" w:name="methods"/>
      <w:bookmarkEnd w:id="3"/>
      <w:r>
        <w:t>Methods</w:t>
      </w:r>
    </w:p>
    <w:p w14:paraId="2A129106" w14:textId="77777777" w:rsidR="00630DDB" w:rsidRDefault="009A525D">
      <w:pPr>
        <w:pStyle w:val="FirstParagraph"/>
      </w:pPr>
      <w:r>
        <w:t>These data may have spatial autocorrelation and they may have a slight right skew (though this relationship changes when data are plotted by year). However, with a log transformation (Figure 4) data appear normal, so I propose to use a log normal distribut</w:t>
      </w:r>
      <w:r>
        <w:t xml:space="preserve">ion with a log link for the model. The random variable I would like to estimate is </w:t>
      </w:r>
      <w:r>
        <w:rPr>
          <w:i/>
        </w:rPr>
        <w:t>C. marshallae</w:t>
      </w:r>
      <w:r>
        <w:t xml:space="preserve"> CPUE where </w:t>
      </w:r>
      <m:oMath>
        <m:sSub>
          <m:sSubPr>
            <m:ctrlPr>
              <w:rPr>
                <w:rFonts w:ascii="Cambria Math" w:hAnsi="Cambria Math"/>
              </w:rPr>
            </m:ctrlPr>
          </m:sSubPr>
          <m:e>
            <m:r>
              <w:rPr>
                <w:rFonts w:ascii="Cambria Math" w:hAnsi="Cambria Math"/>
              </w:rPr>
              <m:t>γ</m:t>
            </m:r>
          </m:e>
          <m:sub>
            <m:r>
              <w:rPr>
                <w:rFonts w:ascii="Cambria Math" w:hAnsi="Cambria Math"/>
              </w:rPr>
              <m:t>i</m:t>
            </m:r>
          </m:sub>
        </m:sSub>
      </m:oMath>
      <w:r>
        <w:t xml:space="preserve"> = Calanus m-3</w:t>
      </w:r>
    </w:p>
    <w:p w14:paraId="255264DA" w14:textId="77777777" w:rsidR="00630DDB" w:rsidRDefault="009A525D">
      <w:pPr>
        <w:pStyle w:val="BodyText"/>
      </w:pPr>
      <m:oMathPara>
        <m:oMathParaPr>
          <m:jc m:val="center"/>
        </m:oMathParaPr>
        <m:oMath>
          <m: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r>
                <w:rPr>
                  <w:rFonts w:ascii="Cambria Math" w:hAnsi="Cambria Math"/>
                </w:rPr>
                <m:t>,</m:t>
              </m:r>
              <m:r>
                <w:rPr>
                  <w:rFonts w:ascii="Cambria Math" w:hAnsi="Cambria Math"/>
                </w:rPr>
                <m:t>y</m:t>
              </m:r>
            </m:sub>
          </m:sSub>
          <m:r>
            <w:rPr>
              <w:rFonts w:ascii="Cambria Math" w:hAnsi="Cambria Math"/>
            </w:rPr>
            <m:t>)∼</m:t>
          </m:r>
          <m:r>
            <w:rPr>
              <w:rFonts w:ascii="Cambria Math" w:hAnsi="Cambria Math"/>
            </w:rPr>
            <m:t>LogNormal</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r>
                <w:rPr>
                  <w:rFonts w:ascii="Cambria Math" w:hAnsi="Cambria Math"/>
                </w:rPr>
                <m:t>,</m:t>
              </m:r>
              <m:r>
                <w:rPr>
                  <w:rFonts w:ascii="Cambria Math" w:hAnsi="Cambria Math"/>
                </w:rPr>
                <m:t>y</m:t>
              </m:r>
            </m:sub>
          </m:sSub>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m:oMathPara>
    </w:p>
    <w:p w14:paraId="62BCA74F" w14:textId="77777777" w:rsidR="007A0EB6" w:rsidRPr="007A0EB6" w:rsidRDefault="007A0EB6">
      <w:pPr>
        <w:pStyle w:val="FirstParagraph"/>
        <w:rPr>
          <w:rFonts w:eastAsiaTheme="minorEastAsia"/>
          <w:sz w:val="20"/>
          <w:szCs w:val="20"/>
        </w:rPr>
      </w:pPr>
      <m:oMathPara>
        <m:oMathParaPr>
          <m:jc m:val="left"/>
        </m:oMathParaPr>
        <m:oMath>
          <m:func>
            <m:funcPr>
              <m:ctrlPr>
                <w:rPr>
                  <w:rFonts w:ascii="Cambria Math" w:hAnsi="Cambria Math"/>
                  <w:sz w:val="20"/>
                  <w:szCs w:val="20"/>
                </w:rPr>
              </m:ctrlPr>
            </m:funcPr>
            <m:fName>
              <m:r>
                <m:rPr>
                  <m:sty m:val="p"/>
                </m:rPr>
                <w:rPr>
                  <w:rFonts w:ascii="Cambria Math" w:hAnsi="Cambria Math"/>
                  <w:sz w:val="20"/>
                  <w:szCs w:val="20"/>
                </w:rPr>
                <m:t>log</m:t>
              </m:r>
            </m:fName>
            <m:e>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μ</m:t>
                      </m:r>
                    </m:e>
                    <m:sub>
                      <m:r>
                        <w:rPr>
                          <w:rFonts w:ascii="Cambria Math" w:hAnsi="Cambria Math"/>
                          <w:sz w:val="20"/>
                          <w:szCs w:val="20"/>
                        </w:rPr>
                        <m:t>s,y</m:t>
                      </m:r>
                    </m:sub>
                  </m:sSub>
                </m:e>
              </m:d>
            </m:e>
          </m:func>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0s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1</m:t>
              </m:r>
            </m:sub>
          </m:sSub>
          <m:r>
            <w:rPr>
              <w:rFonts w:ascii="Cambria Math" w:hAnsi="Cambria Math"/>
              <w:sz w:val="20"/>
              <w:szCs w:val="20"/>
            </w:rPr>
            <m:t>Dept</m:t>
          </m:r>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s,y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2</m:t>
              </m:r>
            </m:sub>
          </m:sSub>
          <m:r>
            <w:rPr>
              <w:rFonts w:ascii="Cambria Math" w:hAnsi="Cambria Math"/>
              <w:sz w:val="20"/>
              <w:szCs w:val="20"/>
            </w:rPr>
            <m:t>Tem</m:t>
          </m:r>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s,y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3</m:t>
              </m:r>
            </m:sub>
          </m:sSub>
          <m:r>
            <w:rPr>
              <w:rFonts w:ascii="Cambria Math" w:hAnsi="Cambria Math"/>
              <w:sz w:val="20"/>
              <w:szCs w:val="20"/>
            </w:rPr>
            <m:t>SA</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s</m:t>
              </m:r>
              <m:r>
                <w:rPr>
                  <w:rFonts w:ascii="Cambria Math" w:hAnsi="Cambria Math"/>
                  <w:sz w:val="20"/>
                  <w:szCs w:val="20"/>
                </w:rPr>
                <m:t>,</m:t>
              </m:r>
              <m:r>
                <w:rPr>
                  <w:rFonts w:ascii="Cambria Math" w:hAnsi="Cambria Math"/>
                  <w:sz w:val="20"/>
                  <w:szCs w:val="20"/>
                </w:rPr>
                <m:t>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4</m:t>
              </m:r>
            </m:sub>
          </m:sSub>
          <m:r>
            <w:rPr>
              <w:rFonts w:ascii="Cambria Math" w:hAnsi="Cambria Math"/>
              <w:sz w:val="20"/>
              <w:szCs w:val="20"/>
            </w:rPr>
            <m:t>Win</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nw</m:t>
              </m:r>
              <m:r>
                <w:rPr>
                  <w:rFonts w:ascii="Cambria Math" w:hAnsi="Cambria Math"/>
                  <w:sz w:val="20"/>
                  <w:szCs w:val="20"/>
                </w:rPr>
                <m:t>,</m:t>
              </m:r>
              <m:r>
                <w:rPr>
                  <w:rFonts w:ascii="Cambria Math" w:hAnsi="Cambria Math"/>
                  <w:sz w:val="20"/>
                  <w:szCs w:val="20"/>
                </w:rPr>
                <m:t>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5</m:t>
              </m:r>
            </m:sub>
          </m:sSub>
          <m:r>
            <w:rPr>
              <w:rFonts w:ascii="Cambria Math" w:hAnsi="Cambria Math"/>
              <w:sz w:val="20"/>
              <w:szCs w:val="20"/>
            </w:rPr>
            <m:t>Win</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se</m:t>
              </m:r>
              <m:r>
                <w:rPr>
                  <w:rFonts w:ascii="Cambria Math" w:hAnsi="Cambria Math"/>
                  <w:sz w:val="20"/>
                  <w:szCs w:val="20"/>
                </w:rPr>
                <m:t>,</m:t>
              </m:r>
              <m:r>
                <w:rPr>
                  <w:rFonts w:ascii="Cambria Math" w:hAnsi="Cambria Math"/>
                  <w:sz w:val="20"/>
                  <w:szCs w:val="20"/>
                </w:rPr>
                <m:t>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6</m:t>
              </m:r>
            </m:sub>
          </m:sSub>
          <m:r>
            <w:rPr>
              <w:rFonts w:ascii="Cambria Math" w:hAnsi="Cambria Math"/>
              <w:sz w:val="20"/>
              <w:szCs w:val="20"/>
            </w:rPr>
            <m:t>C</m:t>
          </m:r>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y</m:t>
              </m:r>
            </m:sub>
          </m:sSub>
          <m:r>
            <w:rPr>
              <w:rFonts w:ascii="Cambria Math" w:hAnsi="Cambria Math"/>
              <w:sz w:val="20"/>
              <w:szCs w:val="20"/>
            </w:rPr>
            <m:t>+</m:t>
          </m:r>
        </m:oMath>
      </m:oMathPara>
    </w:p>
    <w:p w14:paraId="64F3D895" w14:textId="56F3D198" w:rsidR="00630DDB" w:rsidRPr="007A0EB6" w:rsidRDefault="009A525D">
      <w:pPr>
        <w:pStyle w:val="FirstParagraph"/>
      </w:pPr>
      <m:oMathPara>
        <m:oMathParaPr>
          <m:jc m:val="left"/>
        </m:oMathParaPr>
        <m:oMath>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7</m:t>
              </m:r>
            </m:sub>
          </m:sSub>
          <m:r>
            <w:rPr>
              <w:rFonts w:ascii="Cambria Math" w:hAnsi="Cambria Math"/>
              <w:sz w:val="20"/>
              <w:szCs w:val="20"/>
            </w:rPr>
            <m:t>Domai</m:t>
          </m:r>
          <m:sSub>
            <m:sSubPr>
              <m:ctrlPr>
                <w:rPr>
                  <w:rFonts w:ascii="Cambria Math" w:hAnsi="Cambria Math"/>
                  <w:sz w:val="20"/>
                  <w:szCs w:val="20"/>
                </w:rPr>
              </m:ctrlPr>
            </m:sSubPr>
            <m:e>
              <m:r>
                <w:rPr>
                  <w:rFonts w:ascii="Cambria Math" w:hAnsi="Cambria Math"/>
                  <w:sz w:val="20"/>
                  <w:szCs w:val="20"/>
                </w:rPr>
                <m:t>n</m:t>
              </m:r>
            </m:e>
            <m:sub>
              <m:r>
                <w:rPr>
                  <w:rFonts w:ascii="Cambria Math" w:hAnsi="Cambria Math"/>
                  <w:sz w:val="20"/>
                  <w:szCs w:val="20"/>
                </w:rPr>
                <m:t>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B</m:t>
              </m:r>
            </m:e>
            <m:sub>
              <m:r>
                <w:rPr>
                  <w:rFonts w:ascii="Cambria Math" w:hAnsi="Cambria Math"/>
                  <w:sz w:val="20"/>
                  <w:szCs w:val="20"/>
                </w:rPr>
                <m:t>8</m:t>
              </m:r>
            </m:sub>
          </m:sSub>
          <m:r>
            <w:rPr>
              <w:rFonts w:ascii="Cambria Math" w:hAnsi="Cambria Math"/>
              <w:sz w:val="20"/>
              <w:szCs w:val="20"/>
            </w:rPr>
            <m:t>SA</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s</m:t>
              </m:r>
              <m:r>
                <w:rPr>
                  <w:rFonts w:ascii="Cambria Math" w:hAnsi="Cambria Math"/>
                  <w:sz w:val="20"/>
                  <w:szCs w:val="20"/>
                </w:rPr>
                <m:t>,</m:t>
              </m:r>
              <m:r>
                <w:rPr>
                  <w:rFonts w:ascii="Cambria Math" w:hAnsi="Cambria Math"/>
                  <w:sz w:val="20"/>
                  <w:szCs w:val="20"/>
                </w:rPr>
                <m:t>y</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ε</m:t>
              </m:r>
            </m:e>
            <m:sub>
              <m:r>
                <w:rPr>
                  <w:rFonts w:ascii="Cambria Math" w:hAnsi="Cambria Math"/>
                  <w:sz w:val="20"/>
                  <w:szCs w:val="20"/>
                </w:rPr>
                <m:t>s</m:t>
              </m:r>
            </m:sub>
          </m:sSub>
        </m:oMath>
      </m:oMathPara>
    </w:p>
    <w:p w14:paraId="79C8C0B7" w14:textId="77777777" w:rsidR="00630DDB" w:rsidRDefault="009A525D">
      <w:pPr>
        <w:pStyle w:val="BodyText"/>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s</m:t>
              </m:r>
            </m:sub>
          </m:sSub>
          <m:r>
            <w:rPr>
              <w:rFonts w:ascii="Cambria Math" w:hAnsi="Cambria Math"/>
            </w:rPr>
            <m:t>=</m:t>
          </m:r>
          <m:r>
            <w:rPr>
              <w:rFonts w:ascii="Cambria Math" w:hAnsi="Cambria Math"/>
            </w:rPr>
            <m:t>MVN</m:t>
          </m:r>
          <m:r>
            <w:rPr>
              <w:rFonts w:ascii="Cambria Math" w:hAnsi="Cambria Math"/>
            </w:rPr>
            <m:t>(0,</m:t>
          </m:r>
          <m:r>
            <w:rPr>
              <w:rFonts w:ascii="Cambria Math" w:hAnsi="Cambria Math"/>
            </w:rPr>
            <m:t>σ</m:t>
          </m:r>
          <m:r>
            <w:rPr>
              <w:rFonts w:ascii="Cambria Math" w:hAnsi="Cambria Math"/>
            </w:rPr>
            <m:t>)</m:t>
          </m:r>
        </m:oMath>
      </m:oMathPara>
    </w:p>
    <w:p w14:paraId="25961E99" w14:textId="77777777" w:rsidR="00630DDB" w:rsidRDefault="009A525D">
      <w:pPr>
        <w:pStyle w:val="FirstParagrap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s</m:t>
            </m:r>
          </m:sub>
        </m:sSub>
      </m:oMath>
      <w:r>
        <w:t xml:space="preserve"> is the random effect of year (note I am interested in looking at temporal autocorrelation, I think the order of the year matters as the heatwave prog</w:t>
      </w:r>
      <w:r>
        <w:t xml:space="preserve">resses), </w:t>
      </w:r>
      <m:oMath>
        <m:r>
          <w:rPr>
            <w:rFonts w:ascii="Cambria Math" w:hAnsi="Cambria Math"/>
          </w:rPr>
          <m:t>Dept</m:t>
        </m:r>
        <m:sSub>
          <m:sSubPr>
            <m:ctrlPr>
              <w:rPr>
                <w:rFonts w:ascii="Cambria Math" w:hAnsi="Cambria Math"/>
              </w:rPr>
            </m:ctrlPr>
          </m:sSubPr>
          <m:e>
            <m:r>
              <w:rPr>
                <w:rFonts w:ascii="Cambria Math" w:hAnsi="Cambria Math"/>
              </w:rPr>
              <m:t>h</m:t>
            </m:r>
          </m:e>
          <m:sub>
            <m:r>
              <w:rPr>
                <w:rFonts w:ascii="Cambria Math" w:hAnsi="Cambria Math"/>
              </w:rPr>
              <m:t>s</m:t>
            </m:r>
            <m:r>
              <w:rPr>
                <w:rFonts w:ascii="Cambria Math" w:hAnsi="Cambria Math"/>
              </w:rPr>
              <m:t>,</m:t>
            </m:r>
            <m:r>
              <w:rPr>
                <w:rFonts w:ascii="Cambria Math" w:hAnsi="Cambria Math"/>
              </w:rPr>
              <m:t>y</m:t>
            </m:r>
          </m:sub>
        </m:sSub>
      </m:oMath>
      <w:r>
        <w:t xml:space="preserve"> is the survey depth, </w:t>
      </w:r>
      <m:oMath>
        <m:r>
          <w:rPr>
            <w:rFonts w:ascii="Cambria Math" w:hAnsi="Cambria Math"/>
          </w:rPr>
          <m:t>Tem</m:t>
        </m:r>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m:t>
            </m:r>
            <m:r>
              <w:rPr>
                <w:rFonts w:ascii="Cambria Math" w:hAnsi="Cambria Math"/>
              </w:rPr>
              <m:t>y</m:t>
            </m:r>
          </m:sub>
        </m:sSub>
      </m:oMath>
      <w:r>
        <w:t xml:space="preserve"> is the mean temperature (by survey depth) at each station for each survey, </w:t>
      </w:r>
      <m:oMath>
        <m:r>
          <w:rPr>
            <w:rFonts w:ascii="Cambria Math" w:hAnsi="Cambria Math"/>
          </w:rPr>
          <m:t>SA</m:t>
        </m:r>
        <m:sSub>
          <m:sSubPr>
            <m:ctrlPr>
              <w:rPr>
                <w:rFonts w:ascii="Cambria Math" w:hAnsi="Cambria Math"/>
              </w:rPr>
            </m:ctrlPr>
          </m:sSubPr>
          <m:e>
            <m:r>
              <w:rPr>
                <w:rFonts w:ascii="Cambria Math" w:hAnsi="Cambria Math"/>
              </w:rPr>
              <m:t>L</m:t>
            </m:r>
          </m:e>
          <m:sub>
            <m:r>
              <w:rPr>
                <w:rFonts w:ascii="Cambria Math" w:hAnsi="Cambria Math"/>
              </w:rPr>
              <m:t>s</m:t>
            </m:r>
            <m:r>
              <w:rPr>
                <w:rFonts w:ascii="Cambria Math" w:hAnsi="Cambria Math"/>
              </w:rPr>
              <m:t>,</m:t>
            </m:r>
            <m:r>
              <w:rPr>
                <w:rFonts w:ascii="Cambria Math" w:hAnsi="Cambria Math"/>
              </w:rPr>
              <m:t>y</m:t>
            </m:r>
          </m:sub>
        </m:sSub>
      </m:oMath>
      <w:r>
        <w:t xml:space="preserve"> is the mean salinity (by survey depth) at each station for each survey, </w:t>
      </w:r>
      <m:oMath>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nw</m:t>
            </m:r>
            <m:r>
              <w:rPr>
                <w:rFonts w:ascii="Cambria Math" w:hAnsi="Cambria Math"/>
              </w:rPr>
              <m:t>,</m:t>
            </m:r>
            <m:r>
              <w:rPr>
                <w:rFonts w:ascii="Cambria Math" w:hAnsi="Cambria Math"/>
              </w:rPr>
              <m:t>y</m:t>
            </m:r>
          </m:sub>
        </m:sSub>
      </m:oMath>
      <w:r>
        <w:t xml:space="preserve"> is the proportional da</w:t>
      </w:r>
      <w:r>
        <w:t xml:space="preserve">ily wind from the NW for each year, </w:t>
      </w:r>
      <m:oMath>
        <m:r>
          <w:rPr>
            <w:rFonts w:ascii="Cambria Math" w:hAnsi="Cambria Math"/>
          </w:rPr>
          <m:t>Win</m:t>
        </m:r>
        <m:sSub>
          <m:sSubPr>
            <m:ctrlPr>
              <w:rPr>
                <w:rFonts w:ascii="Cambria Math" w:hAnsi="Cambria Math"/>
              </w:rPr>
            </m:ctrlPr>
          </m:sSubPr>
          <m:e>
            <m:r>
              <w:rPr>
                <w:rFonts w:ascii="Cambria Math" w:hAnsi="Cambria Math"/>
              </w:rPr>
              <m:t>d</m:t>
            </m:r>
          </m:e>
          <m:sub>
            <m:r>
              <w:rPr>
                <w:rFonts w:ascii="Cambria Math" w:hAnsi="Cambria Math"/>
              </w:rPr>
              <m:t>se</m:t>
            </m:r>
            <m:r>
              <w:rPr>
                <w:rFonts w:ascii="Cambria Math" w:hAnsi="Cambria Math"/>
              </w:rPr>
              <m:t>,</m:t>
            </m:r>
            <m:r>
              <w:rPr>
                <w:rFonts w:ascii="Cambria Math" w:hAnsi="Cambria Math"/>
              </w:rPr>
              <m:t>y</m:t>
            </m:r>
          </m:sub>
        </m:sSub>
      </m:oMath>
      <w:r>
        <w:t xml:space="preserve"> is the </w:t>
      </w:r>
      <w:r>
        <w:lastRenderedPageBreak/>
        <w:t xml:space="preserve">proportional daily wind from the SE for each year, </w:t>
      </w:r>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y</m:t>
            </m:r>
          </m:sub>
        </m:sSub>
      </m:oMath>
      <w:r>
        <w:t xml:space="preserve"> is the cold pool extent for that year, </w:t>
      </w:r>
      <m:oMath>
        <m:r>
          <w:rPr>
            <w:rFonts w:ascii="Cambria Math" w:hAnsi="Cambria Math"/>
          </w:rPr>
          <m:t>Domai</m:t>
        </m:r>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t xml:space="preserve">is the station domain related to the Ortiz regions delineated by oceanographic bounds. The error term, </w:t>
      </w:r>
      <m:oMath>
        <m:sSub>
          <m:sSubPr>
            <m:ctrlPr>
              <w:rPr>
                <w:rFonts w:ascii="Cambria Math" w:hAnsi="Cambria Math"/>
              </w:rPr>
            </m:ctrlPr>
          </m:sSubPr>
          <m:e>
            <m:r>
              <w:rPr>
                <w:rFonts w:ascii="Cambria Math" w:hAnsi="Cambria Math"/>
              </w:rPr>
              <m:t>ε</m:t>
            </m:r>
          </m:e>
          <m:sub>
            <m:r>
              <w:rPr>
                <w:rFonts w:ascii="Cambria Math" w:hAnsi="Cambria Math"/>
              </w:rPr>
              <m:t>i</m:t>
            </m:r>
          </m:sub>
        </m:sSub>
      </m:oMath>
      <w:r>
        <w:t xml:space="preserve">, is assumed to be multivariate normally distributed and </w:t>
      </w:r>
      <m:oMath>
        <m:r>
          <w:rPr>
            <w:rFonts w:ascii="Cambria Math" w:hAnsi="Cambria Math"/>
          </w:rPr>
          <m:t>σ</m:t>
        </m:r>
      </m:oMath>
      <w:r>
        <w:t xml:space="preserve"> will be composed of a variance-covariance matrix that accounts for spatial autocorrelatio</w:t>
      </w:r>
      <w:r>
        <w:t>n, if necessary.</w:t>
      </w:r>
    </w:p>
    <w:p w14:paraId="0B209FA3" w14:textId="77777777" w:rsidR="00630DDB" w:rsidRDefault="009A525D">
      <w:pPr>
        <w:pStyle w:val="BodyText"/>
      </w:pPr>
      <w:r>
        <w:t>Back-transformed results will under-go a bias correction.</w:t>
      </w:r>
    </w:p>
    <w:p w14:paraId="7D98F1B3" w14:textId="77777777" w:rsidR="00630DDB" w:rsidRDefault="009A525D">
      <w:pPr>
        <w:pStyle w:val="Heading2"/>
      </w:pPr>
      <w:bookmarkStart w:id="5" w:name="acknowledgements"/>
      <w:bookmarkEnd w:id="4"/>
      <w:r>
        <w:t>Acknowledgements</w:t>
      </w:r>
    </w:p>
    <w:p w14:paraId="6F7D56C9" w14:textId="77777777" w:rsidR="00630DDB" w:rsidRDefault="009A525D">
      <w:pPr>
        <w:pStyle w:val="FirstParagraph"/>
      </w:pPr>
      <w:r>
        <w:t>Thank you to Courtney Weiss and Molly Payne for providing comments. Thank you to Dave Kimmel for providing data and for reviewing ideas with me during the project.</w:t>
      </w:r>
    </w:p>
    <w:p w14:paraId="3677597A" w14:textId="77777777" w:rsidR="00630DDB" w:rsidRDefault="009A525D">
      <w:pPr>
        <w:pStyle w:val="Heading2"/>
      </w:pPr>
      <w:bookmarkStart w:id="6" w:name="references"/>
      <w:bookmarkEnd w:id="5"/>
      <w:r>
        <w:t>References</w:t>
      </w:r>
    </w:p>
    <w:p w14:paraId="1BB06BEC" w14:textId="77777777" w:rsidR="00630DDB" w:rsidRDefault="009A525D">
      <w:pPr>
        <w:pStyle w:val="Compact"/>
        <w:numPr>
          <w:ilvl w:val="0"/>
          <w:numId w:val="2"/>
        </w:numPr>
      </w:pPr>
      <w:r>
        <w:t>Baumgartner, M. F., Lysiak, N. S., Esch, H. C., Zerbini, A. N., Berchok, C. L., &amp; Clapham, P. J. (2013). Associations between North Pacific right whales and their zooplanktonic prey in the southeastern Bering Sea. Marine Ecology Progress Series,</w:t>
      </w:r>
      <w:r>
        <w:t xml:space="preserve"> 490, 267-284.</w:t>
      </w:r>
    </w:p>
    <w:p w14:paraId="5A2904F7" w14:textId="77777777" w:rsidR="00630DDB" w:rsidRDefault="009A525D">
      <w:pPr>
        <w:pStyle w:val="Compact"/>
        <w:numPr>
          <w:ilvl w:val="0"/>
          <w:numId w:val="2"/>
        </w:numPr>
      </w:pPr>
      <w:r>
        <w:t xml:space="preserve">Cheung, W.W.L., T.L. Frölicher (2020) Marine heatwaves exacerbate climate change impacts for fisheries in the northeast Pacific. Sci Rep 10, 6678 </w:t>
      </w:r>
      <w:hyperlink r:id="rId13">
        <w:r>
          <w:rPr>
            <w:rStyle w:val="Hyperlink"/>
          </w:rPr>
          <w:t>https://doi.org/10.1038/s41598-02</w:t>
        </w:r>
        <w:r>
          <w:rPr>
            <w:rStyle w:val="Hyperlink"/>
          </w:rPr>
          <w:t>0-63650-z</w:t>
        </w:r>
      </w:hyperlink>
    </w:p>
    <w:p w14:paraId="72B05577" w14:textId="77777777" w:rsidR="00630DDB" w:rsidRDefault="009A525D">
      <w:pPr>
        <w:pStyle w:val="Compact"/>
        <w:numPr>
          <w:ilvl w:val="0"/>
          <w:numId w:val="2"/>
        </w:numPr>
      </w:pPr>
      <w:r>
        <w:t xml:space="preserve">Danielson, S., Hedstrom, K., Aagaard, K., Weingartner, T., &amp; Curchitser, E. (2012). Wind-induced reorganization of the Bering shelf circulation. Geophysical Research Letters, 39(8), L08601. </w:t>
      </w:r>
      <w:hyperlink r:id="rId14">
        <w:r>
          <w:rPr>
            <w:rStyle w:val="Hyperlink"/>
          </w:rPr>
          <w:t>https://doi.org/10.1029/2012gl051231</w:t>
        </w:r>
      </w:hyperlink>
    </w:p>
    <w:p w14:paraId="71CB98FC" w14:textId="77777777" w:rsidR="00630DDB" w:rsidRDefault="009A525D">
      <w:pPr>
        <w:pStyle w:val="Compact"/>
        <w:numPr>
          <w:ilvl w:val="0"/>
          <w:numId w:val="2"/>
        </w:numPr>
      </w:pPr>
      <w:r>
        <w:t>Fisher, M.C., S.K. Moore, S.L. Jardine, J.R. Watson, &amp; J.F. Samhouri (2021) Climate shock effects and mediation in fisheries. Proceedings of the National Academy of Sciences 118, no. 2.</w:t>
      </w:r>
    </w:p>
    <w:p w14:paraId="2AB8E4F9" w14:textId="77777777" w:rsidR="00630DDB" w:rsidRDefault="009A525D">
      <w:pPr>
        <w:pStyle w:val="Compact"/>
        <w:numPr>
          <w:ilvl w:val="0"/>
          <w:numId w:val="2"/>
        </w:numPr>
      </w:pPr>
      <w:r>
        <w:t xml:space="preserve">Frölicher, T.L., E.M. Fischer, &amp; </w:t>
      </w:r>
      <w:r>
        <w:t>N Gruber. (2020) Marine heatwaves under global warming." Nature 560.7718 (2018): 360-364.</w:t>
      </w:r>
    </w:p>
    <w:p w14:paraId="1234EDD1" w14:textId="77777777" w:rsidR="00630DDB" w:rsidRDefault="009A525D">
      <w:pPr>
        <w:pStyle w:val="Compact"/>
        <w:numPr>
          <w:ilvl w:val="0"/>
          <w:numId w:val="2"/>
        </w:numPr>
      </w:pPr>
      <w:r>
        <w:t>Hansen, B. B., Grøtan, V., Herfindal, I., &amp; Lee, A. M. (2020) The Moran effect revisited: spatial population synchrony under global warming. Ecography, 43(11), 1591-1</w:t>
      </w:r>
      <w:r>
        <w:t>602.</w:t>
      </w:r>
    </w:p>
    <w:p w14:paraId="139417BC" w14:textId="77777777" w:rsidR="00630DDB" w:rsidRDefault="009A525D">
      <w:pPr>
        <w:pStyle w:val="Compact"/>
        <w:numPr>
          <w:ilvl w:val="0"/>
          <w:numId w:val="2"/>
        </w:numPr>
      </w:pPr>
      <w:r>
        <w:t>Siddon, E.C., T. Kristiansen, F.J. Mueter, K.K. Holsman, R.A. Heintz, and E.V. Farley. (2013) Spatial match-mismatch between juvenile fish and prey provides a mechanism for recruitment variability across contrasting climate conditions in the eastern B</w:t>
      </w:r>
      <w:r>
        <w:t>ering Sea. PLoS One 8, no. 12 (2013): e84526.</w:t>
      </w:r>
    </w:p>
    <w:p w14:paraId="335F529A" w14:textId="77777777" w:rsidR="00630DDB" w:rsidRDefault="009A525D">
      <w:pPr>
        <w:pStyle w:val="Compact"/>
        <w:numPr>
          <w:ilvl w:val="0"/>
          <w:numId w:val="2"/>
        </w:numPr>
      </w:pPr>
      <w:r>
        <w:t>Springer, A. M., Roseneau, D. G., Lloyd, D. S., McRoy, C. P., &amp; Murphy, E. C. (1986). Seabird responses to fluctuating prey availability in the eastern Bering Sea. Marine Ecology Progress Series, 1-12.</w:t>
      </w:r>
      <w:bookmarkEnd w:id="6"/>
    </w:p>
    <w:sectPr w:rsidR="00630DD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953C4" w14:textId="77777777" w:rsidR="009A525D" w:rsidRDefault="009A525D">
      <w:pPr>
        <w:spacing w:after="0"/>
      </w:pPr>
      <w:r>
        <w:separator/>
      </w:r>
    </w:p>
  </w:endnote>
  <w:endnote w:type="continuationSeparator" w:id="0">
    <w:p w14:paraId="62EACB99" w14:textId="77777777" w:rsidR="009A525D" w:rsidRDefault="009A52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altName w:val="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2C775" w14:textId="77777777" w:rsidR="009A525D" w:rsidRDefault="009A525D">
      <w:r>
        <w:separator/>
      </w:r>
    </w:p>
  </w:footnote>
  <w:footnote w:type="continuationSeparator" w:id="0">
    <w:p w14:paraId="7FEF46AB" w14:textId="77777777" w:rsidR="009A525D" w:rsidRDefault="009A52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BFF826B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4AF63C0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30DDB"/>
    <w:rsid w:val="00784D58"/>
    <w:rsid w:val="007A0EB6"/>
    <w:rsid w:val="008D6863"/>
    <w:rsid w:val="009A525D"/>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495F58"/>
  <w15:docId w15:val="{A4BBC9A5-D5F4-FE46-B9EB-C39374A66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0-63650-z" TargetMode="External"/><Relationship Id="rId3" Type="http://schemas.openxmlformats.org/officeDocument/2006/relationships/settings" Target="settings.xml"/><Relationship Id="rId7" Type="http://schemas.openxmlformats.org/officeDocument/2006/relationships/hyperlink" Target="https://github.com/mikelitzow/bold-new-pollock/tree/master/data"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1029/2012gl0512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1816</Words>
  <Characters>10354</Characters>
  <Application>Microsoft Office Word</Application>
  <DocSecurity>0</DocSecurity>
  <Lines>86</Lines>
  <Paragraphs>24</Paragraphs>
  <ScaleCrop>false</ScaleCrop>
  <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dc:title>
  <dc:creator/>
  <cp:keywords/>
  <cp:lastModifiedBy>Genoa Sullaway</cp:lastModifiedBy>
  <cp:revision>2</cp:revision>
  <dcterms:created xsi:type="dcterms:W3CDTF">2021-10-26T17:53:00Z</dcterms:created>
  <dcterms:modified xsi:type="dcterms:W3CDTF">2021-10-26T17:56:00Z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Genoa Sullaway</vt:lpwstr>
  </property>
</Properties>
</file>