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014FF6F"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sidR="00AF3F1B">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sidR="003C26FA">
        <w:rPr>
          <w:color w:val="000000" w:themeColor="text1"/>
          <w:vertAlign w:val="superscript"/>
        </w:rPr>
        <w:t>2</w:t>
      </w:r>
      <w:r w:rsidR="003C26FA">
        <w:rPr>
          <w:color w:val="000000" w:themeColor="text1"/>
        </w:rPr>
        <w:t xml:space="preserve">, </w:t>
      </w:r>
      <w:r w:rsidRPr="004802C8">
        <w:rPr>
          <w:color w:val="000000" w:themeColor="text1"/>
        </w:rPr>
        <w:t>Sabrina Garcia</w:t>
      </w:r>
      <w:r w:rsidR="003C26FA">
        <w:rPr>
          <w:color w:val="000000" w:themeColor="text1"/>
          <w:vertAlign w:val="superscript"/>
        </w:rPr>
        <w:t>3</w:t>
      </w:r>
      <w:r w:rsidR="003C26FA">
        <w:rPr>
          <w:color w:val="000000" w:themeColor="text1"/>
        </w:rPr>
        <w:t xml:space="preserve"> </w:t>
      </w:r>
    </w:p>
    <w:p w14:paraId="762EE060" w14:textId="77777777" w:rsidR="005615E2" w:rsidRPr="004802C8" w:rsidRDefault="005615E2" w:rsidP="004802C8">
      <w:pPr>
        <w:rPr>
          <w:color w:val="000000" w:themeColor="text1"/>
        </w:rPr>
      </w:pPr>
    </w:p>
    <w:p w14:paraId="5541905C" w14:textId="0482F6F9" w:rsid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sidR="00316CF2">
        <w:rPr>
          <w:color w:val="000000" w:themeColor="text1"/>
        </w:rPr>
        <w:t xml:space="preserve"> </w:t>
      </w:r>
      <w:r w:rsidR="00316CF2">
        <w:rPr>
          <w:color w:val="000000" w:themeColor="text1"/>
          <w:vertAlign w:val="superscript"/>
        </w:rPr>
        <w:t xml:space="preserve">3 </w:t>
      </w:r>
      <w:r w:rsidR="00316CF2">
        <w:rPr>
          <w:color w:val="000000" w:themeColor="text1"/>
          <w:shd w:val="clear" w:color="auto" w:fill="FFFFFF"/>
        </w:rPr>
        <w:t xml:space="preserve">Alaska Department of Fish and Game </w:t>
      </w:r>
    </w:p>
    <w:p w14:paraId="7E919990" w14:textId="77777777" w:rsidR="007B5C82" w:rsidRPr="00316CF2" w:rsidRDefault="007B5C82" w:rsidP="004802C8">
      <w:pPr>
        <w:rPr>
          <w:color w:val="000000" w:themeColor="text1"/>
          <w:shd w:val="clear" w:color="auto" w:fill="FFFFFF"/>
        </w:rPr>
      </w:pP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6"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13D89713"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r w:rsidR="00AF3F1B">
        <w:t xml:space="preserve">environmental and ecological </w:t>
      </w:r>
      <w:r w:rsidR="00552E6E" w:rsidRPr="004802C8">
        <w:t xml:space="preserve">covariates on </w:t>
      </w:r>
      <w:r w:rsidR="00AF3F1B">
        <w:t xml:space="preserve">the survival of </w:t>
      </w:r>
      <w:r w:rsidR="00552E6E" w:rsidRPr="004802C8">
        <w:t xml:space="preserve">Yukon River Chum salmon at multiple </w:t>
      </w:r>
      <w:r w:rsidR="00195882" w:rsidRPr="004802C8">
        <w:t>stages</w:t>
      </w:r>
      <w:r w:rsidR="00552E6E" w:rsidRPr="004802C8">
        <w:t xml:space="preserve"> throughout their lifecycle. IPMs are a class of models</w:t>
      </w:r>
      <w:r w:rsidR="001A3C64">
        <w:t>, also called lifecycle models, that are</w:t>
      </w:r>
      <w:r w:rsidR="00552E6E" w:rsidRPr="004802C8">
        <w:t xml:space="preserve">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552E6E" w:rsidRPr="004802C8">
        <w:fldChar w:fldCharType="begin"/>
      </w:r>
      <w:r w:rsidR="001A3C64">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sidR="001A3C64">
        <w:rPr>
          <w:noProof/>
        </w:rPr>
        <w:t>(Besbeas et al. 2002, Cunningham et al. 2018, Regehr et al. 2018, Crozier et al. 2021, DeFilippo et al. 2021)</w:t>
      </w:r>
      <w:r w:rsidR="00552E6E" w:rsidRPr="004802C8">
        <w:fldChar w:fldCharType="end"/>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w:t>
      </w:r>
      <w:r w:rsidR="003C5330">
        <w:t>four</w:t>
      </w:r>
      <w:r w:rsidR="005524AD" w:rsidRPr="004802C8">
        <w:t xml:space="preserv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3C5330">
        <w:t>total returns</w:t>
      </w:r>
      <w:r w:rsidR="00EC00FA" w:rsidRPr="004802C8">
        <w:t xml:space="preserve">”, which tracks individuals </w:t>
      </w:r>
      <w:r w:rsidR="00D92B6B" w:rsidRPr="004802C8">
        <w:t xml:space="preserve">from their first winter to when they return to the Yukon river mouth and are vulnerable to terminal harvest, </w:t>
      </w:r>
      <w:r w:rsidR="00EC00FA" w:rsidRPr="004802C8">
        <w:t xml:space="preserve">, </w:t>
      </w:r>
      <w:r w:rsidR="003C5330">
        <w:t>4</w:t>
      </w:r>
      <w:r w:rsidR="00EC00FA" w:rsidRPr="004802C8">
        <w:t xml:space="preserve">) “spawners”, which </w:t>
      </w:r>
      <w:r w:rsidR="003C5330">
        <w:t>are</w:t>
      </w:r>
      <w:r w:rsidR="00EC00FA" w:rsidRPr="004802C8">
        <w:t xml:space="preserve"> the fish that return back to the spawning grounds</w:t>
      </w:r>
      <w:r w:rsidR="003C5330">
        <w:t xml:space="preserve"> and is the difference between total returns and total terminal harvest</w:t>
      </w:r>
      <w:r w:rsidR="000659EB">
        <w:t xml:space="preserve"> </w:t>
      </w:r>
      <w:r w:rsidR="00195882" w:rsidRPr="004802C8">
        <w:t xml:space="preserve">(Figure </w:t>
      </w:r>
      <w:r w:rsidR="000659EB" w:rsidRPr="000659EB">
        <w:t>1</w:t>
      </w:r>
      <w:r w:rsidR="00195882" w:rsidRPr="004802C8">
        <w:t>)</w:t>
      </w:r>
      <w:r w:rsidR="00EC00FA" w:rsidRPr="004802C8">
        <w:t xml:space="preserve">. </w:t>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r w:rsidRPr="004802C8">
        <w:t>N</w:t>
      </w:r>
      <w:r w:rsidRPr="004802C8">
        <w:rPr>
          <w:vertAlign w:val="subscript"/>
        </w:rPr>
        <w:t>t,s</w:t>
      </w:r>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N</w:t>
      </w:r>
      <w:r w:rsidRPr="004802C8">
        <w:rPr>
          <w:vertAlign w:val="subscript"/>
        </w:rPr>
        <w:t>t,s</w:t>
      </w:r>
      <w:r w:rsidR="00B471E3" w:rsidRPr="004802C8">
        <w:rPr>
          <w:vertAlign w:val="subscript"/>
        </w:rPr>
        <w:t>=e</w:t>
      </w:r>
      <w:r w:rsidR="000975C4" w:rsidRPr="004802C8">
        <w:rPr>
          <w:vertAlign w:val="subscript"/>
        </w:rPr>
        <w:t xml:space="preserve">               </w:t>
      </w:r>
      <w:r w:rsidR="000975C4" w:rsidRPr="004802C8">
        <w:t>Eq. 4.1</w:t>
      </w:r>
    </w:p>
    <w:p w14:paraId="3BC4E4D1" w14:textId="4BF77B59"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using a Beverton</w:t>
      </w:r>
      <w:r w:rsidR="000659EB">
        <w:t>-</w:t>
      </w:r>
      <w:r w:rsidRPr="004802C8">
        <w:t xml:space="preserve">Holt </w:t>
      </w:r>
      <w:r w:rsidR="002761EE">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5812A9E4" w:rsidR="003C439E" w:rsidRPr="004802C8" w:rsidRDefault="00EC00FA" w:rsidP="0061027D">
      <w:pPr>
        <w:ind w:firstLine="360"/>
      </w:pPr>
      <w:r w:rsidRPr="004802C8">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r w:rsidR="00132EC8">
        <w:t>s</w:t>
      </w:r>
      <w:r w:rsidR="0061027D" w:rsidRPr="004802C8">
        <w:t xml:space="preserve"> time</w:t>
      </w:r>
      <w:r w:rsidR="00132EC8">
        <w:t>-</w:t>
      </w:r>
      <w:r w:rsidR="0061027D" w:rsidRPr="004802C8">
        <w:t xml:space="preserve">varying maximum survival rate </w:t>
      </w:r>
      <w:r w:rsidR="00132EC8">
        <w:t>in the absence of</w:t>
      </w:r>
      <w:r w:rsidR="00132EC8" w:rsidRPr="004802C8">
        <w:t xml:space="preserve"> </w:t>
      </w:r>
      <w:r w:rsidR="0061027D" w:rsidRPr="004802C8">
        <w:t>density</w:t>
      </w:r>
      <w:r w:rsidR="00132EC8">
        <w:t>-</w:t>
      </w:r>
      <w:r w:rsidR="0061027D" w:rsidRPr="004802C8">
        <w:t>dependen</w:t>
      </w:r>
      <w:r w:rsidR="00132EC8">
        <w:t>t compensation</w:t>
      </w:r>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r w:rsidR="00132EC8">
        <w:t>s</w:t>
      </w:r>
      <w:r w:rsidR="0061027D" w:rsidRPr="004802C8">
        <w:t xml:space="preserve"> the </w:t>
      </w:r>
      <w:r w:rsidRPr="004802C8">
        <w:t xml:space="preserve">carrying capacity, or the </w:t>
      </w:r>
      <w:r w:rsidR="0061027D" w:rsidRPr="004802C8">
        <w:lastRenderedPageBreak/>
        <w:t xml:space="preserve">maximum number of individuals that could survive </w:t>
      </w:r>
      <w:r w:rsidR="00132EC8">
        <w:t>to the end of</w:t>
      </w:r>
      <w:r w:rsidR="00132EC8" w:rsidRPr="004802C8">
        <w:t xml:space="preserve"> </w:t>
      </w:r>
      <w:r w:rsidR="000659EB">
        <w:t>each</w:t>
      </w:r>
      <w:r w:rsidR="0061027D" w:rsidRPr="004802C8">
        <w:t xml:space="preserve">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r w:rsidR="00F4357D">
        <w:t xml:space="preserve"> (in logit space)</w:t>
      </w:r>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1CF63338"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r w:rsidR="00A76D65" w:rsidRPr="004802C8">
        <w:t>coefficient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1100C532"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1A3C64">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1A3C64">
        <w:rPr>
          <w:noProof/>
        </w:rPr>
        <w:t>(Farley et al. 2024)</w:t>
      </w:r>
      <w:r w:rsidR="00A84F11" w:rsidRPr="004802C8">
        <w:fldChar w:fldCharType="end"/>
      </w:r>
      <w:r w:rsidR="009D6107" w:rsidRPr="004802C8">
        <w:t xml:space="preserve">. </w:t>
      </w:r>
      <w:r w:rsidR="005524AD" w:rsidRPr="004802C8">
        <w:t xml:space="preserve">The first winter in the GOA is hypothesized </w:t>
      </w:r>
      <w:r w:rsidR="008B68D8">
        <w:t>to be</w:t>
      </w:r>
      <w:r w:rsidR="008B68D8" w:rsidRPr="004802C8">
        <w:t xml:space="preserve"> </w:t>
      </w:r>
      <w:r w:rsidR="005524AD" w:rsidRPr="004802C8">
        <w:t>a critical life stage step</w:t>
      </w:r>
      <w:r w:rsidR="00E6218F">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r w:rsidR="008B68D8">
        <w:t xml:space="preserve">the maximum </w:t>
      </w:r>
      <w:r w:rsidR="0063453E" w:rsidRPr="004802C8">
        <w:t>survival</w:t>
      </w:r>
      <w:r w:rsidR="008B68D8">
        <w:t xml:space="preserve"> rate</w:t>
      </w:r>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r w:rsidR="00527EA6">
        <w:t xml:space="preserve">Survival from the first winter at sea, </w:t>
      </w:r>
      <m:oMath>
        <m:r>
          <m:rPr>
            <m:sty m:val="p"/>
          </m:rPr>
          <w:rPr>
            <w:rFonts w:ascii="Cambria Math" w:hAnsi="Cambria Math"/>
          </w:rPr>
          <m:t>κ</m:t>
        </m:r>
      </m:oMath>
      <w:r w:rsidR="00527EA6" w:rsidRPr="004802C8">
        <w:rPr>
          <w:vertAlign w:val="subscript"/>
        </w:rPr>
        <w:t>t,s=m</w:t>
      </w:r>
      <w:r w:rsidR="00527EA6">
        <w:t xml:space="preserve">, was multiplied by the number of juvenile fish, </w:t>
      </w:r>
      <w:r w:rsidR="00527EA6" w:rsidRPr="004802C8">
        <w:t>N</w:t>
      </w:r>
      <w:r w:rsidR="00527EA6" w:rsidRPr="004802C8">
        <w:rPr>
          <w:vertAlign w:val="subscript"/>
        </w:rPr>
        <w:t>t,s=j</w:t>
      </w:r>
      <w:r w:rsidR="00527EA6">
        <w:rPr>
          <w:vertAlign w:val="subscript"/>
        </w:rPr>
        <w:t>,</w:t>
      </w:r>
      <w:r w:rsidR="00527EA6">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t xml:space="preserve">. </w:t>
      </w:r>
      <w:r w:rsidR="005524AD" w:rsidRPr="004802C8">
        <w:t xml:space="preserv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N</w:t>
      </w:r>
      <w:r w:rsidR="005524AD" w:rsidRPr="004802C8">
        <w:rPr>
          <w:vertAlign w:val="subscript"/>
        </w:rPr>
        <w:t>t,s</w:t>
      </w:r>
      <w:r w:rsidR="00B471E3" w:rsidRPr="004802C8">
        <w:rPr>
          <w:vertAlign w:val="subscript"/>
        </w:rPr>
        <w:t>=j</w:t>
      </w:r>
      <w:r w:rsidR="005524AD" w:rsidRPr="004802C8">
        <w:t xml:space="preserve">                  Eq. 4.</w:t>
      </w:r>
      <w:r w:rsidR="000975C4" w:rsidRPr="004802C8">
        <w:t>4</w:t>
      </w:r>
    </w:p>
    <w:p w14:paraId="37B3109E" w14:textId="42947B92" w:rsidR="009D6107" w:rsidRPr="004802C8" w:rsidRDefault="009D6107" w:rsidP="009D6107">
      <w:pPr>
        <w:pStyle w:val="NormalWeb"/>
        <w:spacing w:before="0" w:beforeAutospacing="0" w:after="0" w:afterAutospacing="0"/>
        <w:ind w:firstLine="360"/>
      </w:pPr>
      <w:r w:rsidRPr="004802C8">
        <w:t xml:space="preserve">The number of fish returning to the Yukon River </w:t>
      </w:r>
      <w:r w:rsidR="00ED715D">
        <w:t>are based on calendar year, which is indexed by</w:t>
      </w:r>
      <w:r w:rsidRPr="004802C8">
        <w:t xml:space="preserve"> </w:t>
      </w:r>
      <m:oMath>
        <m:r>
          <w:rPr>
            <w:rFonts w:ascii="Cambria Math" w:hAnsi="Cambria Math"/>
          </w:rPr>
          <m:t>y=t+a+1</m:t>
        </m:r>
      </m:oMath>
      <w:r w:rsidR="00ED715D">
        <w:t>. The number of returning fish,</w:t>
      </w:r>
      <w:r w:rsidRPr="004802C8">
        <w:t xml:space="preserve"> </w:t>
      </w:r>
      <w:r w:rsidR="00957C4C" w:rsidRPr="004802C8">
        <w:t>N</w:t>
      </w:r>
      <w:r w:rsidR="00ED715D">
        <w:rPr>
          <w:vertAlign w:val="subscript"/>
        </w:rPr>
        <w:t>y</w:t>
      </w:r>
      <w:r w:rsidR="00957C4C" w:rsidRPr="004802C8">
        <w:rPr>
          <w:vertAlign w:val="subscript"/>
        </w:rPr>
        <w:t>,</w:t>
      </w:r>
      <w:r w:rsidR="00B471E3" w:rsidRPr="004802C8">
        <w:rPr>
          <w:vertAlign w:val="subscript"/>
        </w:rPr>
        <w:t>s</w:t>
      </w:r>
      <w:r w:rsidR="00957C4C" w:rsidRPr="004802C8">
        <w:rPr>
          <w:vertAlign w:val="subscript"/>
        </w:rPr>
        <w:t>=</w:t>
      </w:r>
      <w:r w:rsidR="00B471E3" w:rsidRPr="004802C8">
        <w:rPr>
          <w:vertAlign w:val="subscript"/>
        </w:rPr>
        <w:t>r</w:t>
      </w:r>
      <w:r w:rsidR="00957C4C" w:rsidRPr="004802C8">
        <w:rPr>
          <w:vertAlign w:val="subscript"/>
        </w:rPr>
        <w:t>,a</w:t>
      </w:r>
      <w:r w:rsidR="00ED715D">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commentRangeStart w:id="1"/>
      <w:commentRangeStart w:id="2"/>
    </w:p>
    <w:p w14:paraId="71CCE20B" w14:textId="77777777" w:rsidR="00443D23" w:rsidRPr="004802C8" w:rsidRDefault="00443D23" w:rsidP="00443D23">
      <w:pPr>
        <w:pStyle w:val="NormalWeb"/>
        <w:spacing w:before="0" w:beforeAutospacing="0" w:after="0" w:afterAutospacing="0"/>
        <w:jc w:val="center"/>
      </w:pPr>
    </w:p>
    <w:p w14:paraId="511E7F8E" w14:textId="42771FC1"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commentRangeEnd w:id="1"/>
      <w:r w:rsidR="00B24208">
        <w:rPr>
          <w:rStyle w:val="CommentReference"/>
        </w:rPr>
        <w:commentReference w:id="1"/>
      </w:r>
      <w:commentRangeEnd w:id="2"/>
      <w:r w:rsidR="00885339">
        <w:rPr>
          <w:rStyle w:val="CommentReference"/>
        </w:rPr>
        <w:commentReference w:id="2"/>
      </w:r>
    </w:p>
    <w:p w14:paraId="70E4678B" w14:textId="77777777" w:rsidR="00382C08" w:rsidRPr="004802C8" w:rsidRDefault="00382C08" w:rsidP="00DD499B">
      <w:pPr>
        <w:pStyle w:val="NormalWeb"/>
        <w:spacing w:before="0" w:beforeAutospacing="0" w:after="0" w:afterAutospacing="0"/>
      </w:pPr>
    </w:p>
    <w:p w14:paraId="694180F9" w14:textId="361EF9E7"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rsidR="003C5330">
        <w:t xml:space="preserve"> rate</w:t>
      </w:r>
      <w:r w:rsidRPr="004802C8">
        <w:t xml:space="preserve">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commentRangeStart w:id="3"/>
      <w:r w:rsidR="005577D9">
        <w:t>The maturity schedule for Chum salmon was assumed to vary over time randomly, relative to an average maturity schedule.</w:t>
      </w:r>
      <w:r w:rsidR="00F55916">
        <w:t xml:space="preserve"> </w:t>
      </w:r>
      <w:commentRangeEnd w:id="3"/>
      <w:r w:rsidR="00B24208">
        <w:rPr>
          <w:rStyle w:val="CommentReference"/>
        </w:rPr>
        <w:commentReference w:id="3"/>
      </w:r>
      <w:r w:rsidR="0029518D" w:rsidRPr="004802C8">
        <w:t>T</w:t>
      </w:r>
      <w:r w:rsidR="00382C08" w:rsidRPr="004802C8">
        <w:t xml:space="preserve">he proportion of fish returning to </w:t>
      </w:r>
      <w:r w:rsidR="0029518D" w:rsidRPr="004802C8">
        <w:t>the Yukon River</w:t>
      </w:r>
      <w:r w:rsidR="00382C08" w:rsidRPr="004802C8">
        <w:t xml:space="preserve"> </w:t>
      </w:r>
      <w:r w:rsidR="00F55916">
        <w:t xml:space="preserve">at each ocean age </w:t>
      </w:r>
      <m:oMath>
        <m:r>
          <w:rPr>
            <w:rFonts w:ascii="Cambria Math" w:hAnsi="Cambria Math"/>
          </w:rPr>
          <m:t>a</m:t>
        </m:r>
      </m:oMath>
      <w:r w:rsidR="00F55916">
        <w:t xml:space="preserve"> in </w:t>
      </w:r>
      <w:r w:rsidR="00382C08" w:rsidRPr="004802C8">
        <w:t>from each brood year</w:t>
      </w:r>
      <w:r w:rsidR="00F55916">
        <w:t xml:space="preserve"> </w:t>
      </w:r>
      <m:oMath>
        <m:r>
          <w:rPr>
            <w:rFonts w:ascii="Cambria Math" w:hAnsi="Cambria Math"/>
          </w:rPr>
          <m:t>t</m:t>
        </m:r>
      </m:oMath>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4C935222"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04925E4E" w:rsidR="00A1278F" w:rsidRPr="004802C8" w:rsidRDefault="008219BE" w:rsidP="00DD499B">
      <w:pPr>
        <w:pStyle w:val="NormalWeb"/>
        <w:spacing w:before="0" w:beforeAutospacing="0" w:after="0" w:afterAutospacing="0"/>
      </w:pPr>
      <w:r w:rsidRPr="004802C8">
        <w:t>Returning fish</w:t>
      </w:r>
      <w:r w:rsidR="00345AEA" w:rsidRPr="004802C8">
        <w:t>, N</w:t>
      </w:r>
      <w:r w:rsidR="00ED715D">
        <w:rPr>
          <w:vertAlign w:val="subscript"/>
        </w:rPr>
        <w:t>y</w:t>
      </w:r>
      <w:r w:rsidR="00345AEA" w:rsidRPr="004802C8">
        <w:rPr>
          <w:vertAlign w:val="subscript"/>
        </w:rPr>
        <w:t>,</w:t>
      </w:r>
      <w:r w:rsidR="00B471E3" w:rsidRPr="004802C8">
        <w:rPr>
          <w:vertAlign w:val="subscript"/>
        </w:rPr>
        <w:t>s</w:t>
      </w:r>
      <w:r w:rsidR="00345AEA" w:rsidRPr="004802C8">
        <w:rPr>
          <w:vertAlign w:val="subscript"/>
        </w:rPr>
        <w:t>=r</w:t>
      </w:r>
      <w:r w:rsidR="00DD499B" w:rsidRPr="004802C8">
        <w:rPr>
          <w:vertAlign w:val="subscript"/>
        </w:rPr>
        <w:t>,a</w:t>
      </w:r>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F908AF">
        <w:t xml:space="preserve"> in each calendar year </w:t>
      </w:r>
      <m:oMath>
        <m:r>
          <w:rPr>
            <w:rFonts w:ascii="Cambria Math" w:hAnsi="Cambria Math"/>
          </w:rPr>
          <m:t>y</m:t>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r w:rsidR="00971C02">
        <w:t xml:space="preserve"> The resulting catch at age in calendar year </w:t>
      </w:r>
      <m:oMath>
        <m:r>
          <w:rPr>
            <w:rFonts w:ascii="Cambria Math" w:hAnsi="Cambria Math"/>
          </w:rPr>
          <m:t>y</m:t>
        </m:r>
      </m:oMath>
      <w:r w:rsidR="00971C02">
        <w:t xml:space="preserve"> is:</w:t>
      </w:r>
    </w:p>
    <w:commentRangeStart w:id="4"/>
    <w:commentRangeStart w:id="5"/>
    <w:p w14:paraId="009A96DC" w14:textId="768FAFFB" w:rsidR="00DD499B"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t xml:space="preserve"> </w:t>
      </w:r>
      <w:r w:rsidR="001A3C64">
        <w:t xml:space="preserve"> </w:t>
      </w:r>
      <w:r w:rsidR="000975C4" w:rsidRPr="004802C8">
        <w:t>Eq. 4.</w:t>
      </w:r>
      <w:r w:rsidR="00EB7052" w:rsidRPr="004802C8">
        <w:t>7</w:t>
      </w:r>
      <w:commentRangeEnd w:id="4"/>
      <w:r w:rsidR="0005752E">
        <w:rPr>
          <w:rStyle w:val="CommentReference"/>
        </w:rPr>
        <w:commentReference w:id="4"/>
      </w:r>
      <w:commentRangeEnd w:id="5"/>
      <w:r w:rsidR="00DE0436">
        <w:rPr>
          <w:rStyle w:val="CommentReference"/>
        </w:rPr>
        <w:commentReference w:id="5"/>
      </w:r>
    </w:p>
    <w:p w14:paraId="39247AC8" w14:textId="77777777" w:rsidR="00DD499B" w:rsidRPr="004802C8" w:rsidRDefault="00DD499B" w:rsidP="00DD499B">
      <w:pPr>
        <w:jc w:val="center"/>
        <w:rPr>
          <w:vertAlign w:val="subscript"/>
        </w:rPr>
      </w:pPr>
    </w:p>
    <w:p w14:paraId="21BDC998" w14:textId="691E031B" w:rsidR="00E82157" w:rsidRPr="004802C8" w:rsidRDefault="00D02B3A" w:rsidP="00DD499B">
      <w:pPr>
        <w:pStyle w:val="NormalWeb"/>
        <w:spacing w:before="0" w:beforeAutospacing="0" w:after="0" w:afterAutospacing="0"/>
      </w:pPr>
      <w:r w:rsidRPr="004802C8">
        <w:t xml:space="preserve">To allow ample flexibility in annual fishing mortality </w:t>
      </w:r>
      <w:r w:rsidR="003C439E" w:rsidRPr="004802C8">
        <w:t>rates</w:t>
      </w:r>
      <w:r w:rsidR="00975CB3">
        <w:t xml:space="preserve"> by calendar year </w:t>
      </w:r>
      <m:oMath>
        <m:r>
          <w:rPr>
            <w:rFonts w:ascii="Cambria Math" w:hAnsi="Cambria Math"/>
          </w:rPr>
          <m:t>y</m:t>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06C9C554" w:rsidR="00345AEA"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34A94A13" w:rsidR="00FC4D68" w:rsidRPr="004802C8"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t xml:space="preserve">    </w:t>
      </w:r>
      <w:r w:rsidR="000975C4" w:rsidRPr="004802C8">
        <w:t>Eq. 4.</w:t>
      </w:r>
      <w:r w:rsidR="00EB7052" w:rsidRPr="004802C8">
        <w:t>9</w:t>
      </w:r>
    </w:p>
    <w:p w14:paraId="274B8A70" w14:textId="77777777" w:rsidR="00D02B3A" w:rsidRPr="004802C8" w:rsidRDefault="00D02B3A" w:rsidP="00D02B3A">
      <w:pPr>
        <w:jc w:val="center"/>
      </w:pPr>
    </w:p>
    <w:p w14:paraId="5F18EE4D" w14:textId="621572C8"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females, </w:t>
      </w:r>
      <m:oMath>
        <m:r>
          <w:rPr>
            <w:rFonts w:ascii="Cambria Math" w:hAnsi="Cambria Math"/>
          </w:rPr>
          <m:t>P</m:t>
        </m:r>
      </m:oMath>
      <w:r w:rsidR="00F511E4" w:rsidRPr="004802C8">
        <w:t xml:space="preserve">, which was </w:t>
      </w:r>
      <w:r w:rsidRPr="004802C8">
        <w:t>fixed at 50% and age specific fecundity rates,</w:t>
      </w:r>
      <w:r w:rsidR="006D5A52">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a</m:t>
            </m:r>
          </m:sub>
        </m:sSub>
      </m:oMath>
      <w:r w:rsidR="00BC3349">
        <w:rPr>
          <w:vertAlign w:val="subscript"/>
        </w:rPr>
        <w:t xml:space="preserve">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 xml:space="preserve">Further, we assumed </w:t>
      </w:r>
      <w:r w:rsidR="005C76D6" w:rsidRPr="004802C8">
        <w:t xml:space="preserve">that </w:t>
      </w:r>
      <w:r w:rsidR="005C76D6">
        <w:t>older</w:t>
      </w:r>
      <w:r w:rsidR="005C76D6" w:rsidRPr="004802C8">
        <w:t xml:space="preserve"> fish produced more eggs per spawner </w:t>
      </w:r>
      <w:r w:rsidR="005C76D6" w:rsidRPr="004802C8">
        <w:fldChar w:fldCharType="begin"/>
      </w:r>
      <w:r w:rsidR="005C76D6"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5C76D6" w:rsidRPr="004802C8">
        <w:fldChar w:fldCharType="separate"/>
      </w:r>
      <w:r w:rsidR="005C76D6" w:rsidRPr="004802C8">
        <w:rPr>
          <w:noProof/>
        </w:rPr>
        <w:t>(Gilk et al. 2009)</w:t>
      </w:r>
      <w:r w:rsidR="005C76D6" w:rsidRPr="004802C8">
        <w:fldChar w:fldCharType="end"/>
      </w:r>
      <w:r w:rsidR="005C76D6" w:rsidRPr="004802C8">
        <w:t xml:space="preserve">. </w:t>
      </w:r>
      <w:r w:rsidR="005C76D6">
        <w:t>The</w:t>
      </w:r>
      <w:r w:rsidR="00E53ECE" w:rsidRPr="004802C8">
        <w:t xml:space="preserve"> following fecundities</w:t>
      </w:r>
      <w:r w:rsidR="005C76D6">
        <w:t xml:space="preserve"> were 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r w:rsidR="00771106">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00771106">
        <w:t>.</w:t>
      </w:r>
    </w:p>
    <w:p w14:paraId="776B67B3" w14:textId="6818683D" w:rsidR="000975C4" w:rsidRPr="004802C8"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rsidR="000975C4" w:rsidRPr="004802C8">
        <w:tab/>
      </w:r>
      <w:r w:rsidR="000975C4" w:rsidRPr="004802C8">
        <w:tab/>
        <w:t>Eq. 4.</w:t>
      </w:r>
      <w:r w:rsidR="00EB7052" w:rsidRPr="004802C8">
        <w:t>10</w:t>
      </w:r>
    </w:p>
    <w:p w14:paraId="5AA66528" w14:textId="6E762D4B" w:rsidR="002C4E3D" w:rsidRDefault="002C4E3D" w:rsidP="002C4E3D">
      <w:pPr>
        <w:ind w:left="2160" w:firstLine="720"/>
      </w:pPr>
    </w:p>
    <w:p w14:paraId="4E5DD1FE" w14:textId="4D0DEFE8" w:rsidR="00771106" w:rsidRPr="004802C8" w:rsidRDefault="00000000" w:rsidP="00811DC9">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t,s=e,a</m:t>
                </m:r>
              </m:sub>
            </m:sSub>
          </m:e>
        </m:nary>
      </m:oMath>
      <w:r w:rsidR="00771106" w:rsidRPr="004802C8">
        <w:tab/>
      </w:r>
      <w:r w:rsidR="00771106" w:rsidRPr="004802C8">
        <w:tab/>
        <w:t>Eq. 4.1</w:t>
      </w:r>
      <w:r w:rsidR="00771106">
        <w:t>1</w:t>
      </w: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320F8A62" w:rsidR="000D676B"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rstan package in R </w:t>
      </w:r>
      <w:r w:rsidR="00DE6633" w:rsidRPr="004802C8">
        <w:fldChar w:fldCharType="begin"/>
      </w:r>
      <w:r w:rsidR="00474E2B">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r w:rsidR="000D676B" w:rsidRPr="001A3C64">
        <w:rPr>
          <w:i/>
          <w:iCs/>
          <w:color w:val="000000"/>
        </w:rPr>
        <w:t>priorsense</w:t>
      </w:r>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491E4010" w14:textId="77777777" w:rsidR="00527EA6" w:rsidRDefault="00527EA6" w:rsidP="000D676B">
      <w:pPr>
        <w:pStyle w:val="NormalWeb"/>
        <w:spacing w:before="0" w:beforeAutospacing="0" w:after="0" w:afterAutospacing="0"/>
        <w:ind w:firstLine="360"/>
        <w:rPr>
          <w:color w:val="000000"/>
        </w:rPr>
      </w:pPr>
    </w:p>
    <w:p w14:paraId="32013038" w14:textId="012A82AE" w:rsidR="00527EA6" w:rsidRPr="004802C8" w:rsidRDefault="00527EA6" w:rsidP="00527EA6">
      <w:pPr>
        <w:pStyle w:val="Heading4"/>
      </w:pPr>
      <w:r>
        <w:t xml:space="preserve">2.3 Population Data  </w:t>
      </w:r>
    </w:p>
    <w:p w14:paraId="64091409" w14:textId="797D524F"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r w:rsidR="002D7659" w:rsidRPr="004802C8">
        <w:t>N</w:t>
      </w:r>
      <w:r w:rsidR="002D7659" w:rsidRPr="004802C8">
        <w:rPr>
          <w:vertAlign w:val="subscript"/>
        </w:rPr>
        <w:t>t,s=j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survey. The NBS survey is a collaborative survey run by ADFG, NOAA Alaska Fishery Science Center</w:t>
      </w:r>
      <w:r w:rsidR="001A3C64">
        <w:t xml:space="preserve"> to</w:t>
      </w:r>
      <w:r w:rsidR="00997EF9" w:rsidRPr="004802C8">
        <w:t xml:space="preserve">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xml:space="preserve">. </w:t>
      </w:r>
    </w:p>
    <w:p w14:paraId="76171591" w14:textId="1F3B2A97"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 xml:space="preserve">The NBS survey includes multiple stocks of juvenile chum salmon that spend their first summer in the NBS. </w:t>
      </w:r>
      <w:r w:rsidR="009F5D64">
        <w:t>Chum salmon</w:t>
      </w:r>
      <w:r w:rsidR="009F5D64" w:rsidRPr="004802C8">
        <w:t xml:space="preserve"> caught in this survey are allocated to genetic reporting groups using a spatial mixed stock analysis (MSA) (</w:t>
      </w:r>
      <w:r w:rsidR="009F5D64" w:rsidRPr="004802C8">
        <w:rPr>
          <w:b/>
          <w:bCs/>
        </w:rPr>
        <w:t>CITE</w:t>
      </w:r>
      <w:r w:rsidR="009F5D64" w:rsidRPr="004802C8">
        <w:t xml:space="preserve">, </w:t>
      </w:r>
      <w:r w:rsidR="009F5D64" w:rsidRPr="004802C8">
        <w:rPr>
          <w:b/>
          <w:bCs/>
        </w:rPr>
        <w:t>Lee et al..?).</w:t>
      </w:r>
      <w:r w:rsidR="009F5D64" w:rsidRPr="004802C8">
        <w:t xml:space="preserve"> The MSA has five reporting groups, including Yukon River fall chum salmon</w:t>
      </w:r>
      <w:r w:rsidR="009F5D64">
        <w:t>. G</w:t>
      </w:r>
      <w:r w:rsidR="009F5D64" w:rsidRPr="004802C8">
        <w:t xml:space="preserve">enotype and analysis are further detailed by </w:t>
      </w:r>
      <w:r w:rsidR="009F5D64" w:rsidRPr="004802C8">
        <w:rPr>
          <w:b/>
          <w:bCs/>
        </w:rPr>
        <w:t>XX</w:t>
      </w:r>
      <w:r w:rsidR="003C426C">
        <w:rPr>
          <w:b/>
          <w:bCs/>
        </w:rPr>
        <w:t xml:space="preserve"> et al</w:t>
      </w:r>
      <w:r w:rsidR="009F5D64" w:rsidRPr="004802C8">
        <w:t>.</w:t>
      </w:r>
      <w:r w:rsidR="009F5D64">
        <w:t xml:space="preserve"> </w:t>
      </w:r>
      <w:r w:rsidR="0092445E" w:rsidRPr="004802C8">
        <w:t xml:space="preserve">We </w:t>
      </w:r>
      <w:r w:rsidR="0092445E" w:rsidRPr="004802C8">
        <w:lastRenderedPageBreak/>
        <w:t>multiplied</w:t>
      </w:r>
      <w:r w:rsidR="009F5D64">
        <w:t xml:space="preserve"> the</w:t>
      </w:r>
      <w:r w:rsidR="0092445E" w:rsidRPr="004802C8">
        <w:t xml:space="preserve">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0622F1CB"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m:t>
        </m:r>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68E724E4" w14:textId="423B5696" w:rsidR="001918E7" w:rsidRPr="004802C8" w:rsidRDefault="00257ACD" w:rsidP="001918E7">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r w:rsidR="001918E7">
        <w:t xml:space="preserve">. </w:t>
      </w:r>
      <w:r w:rsidR="000B059D">
        <w:t>Here,</w:t>
      </w:r>
      <w:r w:rsidR="001918E7">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t>, acts as a weighting factor for the likelihood,</w:t>
      </w:r>
      <w:r w:rsidR="000B059D">
        <w:t xml:space="preserve"> where</w:t>
      </w:r>
      <w:r w:rsidR="001918E7">
        <w:t xml:space="preserve"> smaller </w:t>
      </w:r>
      <w:proofErr w:type="gramStart"/>
      <w:r w:rsidR="001918E7">
        <w:t>sigma’s</w:t>
      </w:r>
      <w:proofErr w:type="gramEnd"/>
      <w:r w:rsidR="001918E7">
        <w:t xml:space="preserve"> contribute more to the complete likelihood</w:t>
      </w:r>
      <w:r w:rsidR="000B059D">
        <w:t xml:space="preserve"> which </w:t>
      </w:r>
      <w:r w:rsidR="001918E7">
        <w:t>helps account for the contributions of different sources of information.</w:t>
      </w:r>
    </w:p>
    <w:p w14:paraId="09ED9C79" w14:textId="77777777" w:rsidR="00EB7052" w:rsidRPr="004802C8" w:rsidRDefault="00EB7052" w:rsidP="003F1961">
      <w:pPr>
        <w:pStyle w:val="NormalWeb"/>
        <w:spacing w:before="0" w:beforeAutospacing="0" w:after="0" w:afterAutospacing="0"/>
        <w:ind w:firstLine="360"/>
      </w:pPr>
    </w:p>
    <w:p w14:paraId="1B00E458" w14:textId="179B22D1"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p>
    <w:p w14:paraId="210FDA56" w14:textId="77777777" w:rsidR="003D4E2E" w:rsidRPr="004802C8" w:rsidRDefault="003D4E2E" w:rsidP="003D4E2E"/>
    <w:p w14:paraId="3DE90576" w14:textId="7B935A1C"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t>
      </w:r>
      <w:commentRangeStart w:id="6"/>
      <w:commentRangeStart w:id="7"/>
      <w:r w:rsidR="004111F4" w:rsidRPr="004802C8">
        <w:t xml:space="preserve">We fit the </w:t>
      </w:r>
      <w:r w:rsidR="00382C08" w:rsidRPr="004802C8">
        <w:t xml:space="preserve">estimation model to age composition estimates </w:t>
      </w:r>
      <w:r w:rsidR="00DE0436">
        <w:t xml:space="preserve">from each calendar year </w:t>
      </w:r>
      <w:r w:rsidR="00382C08" w:rsidRPr="004802C8">
        <w:t>provided by the run reconstruction</w:t>
      </w:r>
      <w:commentRangeEnd w:id="6"/>
      <w:r w:rsidR="004D3CDC">
        <w:rPr>
          <w:rStyle w:val="CommentReference"/>
        </w:rPr>
        <w:commentReference w:id="6"/>
      </w:r>
      <w:commentRangeEnd w:id="7"/>
      <w:r w:rsidR="00DE0436">
        <w:rPr>
          <w:rStyle w:val="CommentReference"/>
        </w:rPr>
        <w:commentReference w:id="7"/>
      </w:r>
      <w:r w:rsidR="00382C08" w:rsidRPr="004802C8">
        <w:t xml:space="preserve">. </w:t>
      </w:r>
      <w:r w:rsidR="005C5F75" w:rsidRPr="004802C8">
        <w:t>We used p</w:t>
      </w:r>
      <w:r w:rsidR="003D4E2E" w:rsidRPr="004802C8">
        <w:t>redicted run size by calendar year and age (N</w:t>
      </w:r>
      <w:r w:rsidR="003D4E2E" w:rsidRPr="004802C8">
        <w:rPr>
          <w:vertAlign w:val="subscript"/>
        </w:rPr>
        <w:t>t+a+1,s=r,a</w:t>
      </w:r>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3793C6BD" w:rsidR="003D4E2E" w:rsidRPr="004802C8"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00F5F467" w:rsidR="00952A2D" w:rsidRPr="004802C8" w:rsidRDefault="00952A2D" w:rsidP="004802C8">
      <w:pPr>
        <w:pStyle w:val="Heading4"/>
      </w:pPr>
      <w:r w:rsidRPr="004802C8">
        <w:t>2.</w:t>
      </w:r>
      <w:r w:rsidR="00527EA6">
        <w:t>4</w:t>
      </w:r>
      <w:r w:rsidRPr="004802C8">
        <w:t xml:space="preserve"> Priors</w:t>
      </w:r>
    </w:p>
    <w:p w14:paraId="5A00126B" w14:textId="290AE50A" w:rsidR="00952A2D"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4802C8" w:rsidRDefault="00313648" w:rsidP="00ED1C8F">
      <w:pPr>
        <w:ind w:firstLine="720"/>
      </w:pPr>
    </w:p>
    <w:p w14:paraId="3FF80323" w14:textId="04C244B6" w:rsidR="00DD499B" w:rsidRPr="004802C8" w:rsidRDefault="003D4E2E" w:rsidP="004802C8">
      <w:pPr>
        <w:pStyle w:val="Heading4"/>
      </w:pPr>
      <w:r w:rsidRPr="004802C8">
        <w:lastRenderedPageBreak/>
        <w:t>2.</w:t>
      </w:r>
      <w:r w:rsidR="00527EA6">
        <w:t>5</w:t>
      </w:r>
      <w:r w:rsidRPr="004802C8">
        <w:t xml:space="preserve"> </w:t>
      </w:r>
      <w:r w:rsidR="007A5FD1" w:rsidRPr="004802C8">
        <w:t>Ecosystem</w:t>
      </w:r>
      <w:r w:rsidR="00DD499B" w:rsidRPr="004802C8">
        <w:t xml:space="preserve"> Covariates</w:t>
      </w:r>
    </w:p>
    <w:p w14:paraId="07B3F072" w14:textId="77777777" w:rsidR="00313648" w:rsidRDefault="003B54AF" w:rsidP="008D50E3">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All covariates were mean-scaled</w:t>
      </w:r>
      <w:r w:rsidR="00093146">
        <w:t xml:space="preserve"> and included in the IPM all at once</w:t>
      </w:r>
      <w:r w:rsidR="00356E89" w:rsidRPr="004802C8">
        <w:t xml:space="preserve">. </w:t>
      </w:r>
    </w:p>
    <w:p w14:paraId="2DFF9E98" w14:textId="1F9235FE" w:rsidR="00313648" w:rsidRDefault="00313648" w:rsidP="00313648">
      <w:pPr>
        <w:pStyle w:val="Heading5"/>
      </w:pPr>
      <w:r>
        <w:t xml:space="preserve">2.5.1 Egg to the first summer at sea </w:t>
      </w:r>
    </w:p>
    <w:p w14:paraId="21ABA198" w14:textId="14EB9D56" w:rsidR="008D50E3" w:rsidRDefault="00592CA8" w:rsidP="008D50E3">
      <w:pPr>
        <w:ind w:firstLine="720"/>
      </w:pPr>
      <w:r w:rsidRPr="004802C8">
        <w:t xml:space="preserve">We considered four covariates </w:t>
      </w:r>
      <w:r w:rsidR="003B54AF" w:rsidRPr="004802C8">
        <w:t>hypothesized to</w:t>
      </w:r>
      <w:r w:rsidRPr="004802C8">
        <w:t xml:space="preserve"> impact juvenile salmon productivity from the egg stage to the end of their first summer at sea, including </w:t>
      </w:r>
      <w:r w:rsidR="00E6218F" w:rsidRPr="004802C8">
        <w:t>the mean spawner size trend from the parent generation</w:t>
      </w:r>
      <w:r w:rsidR="00E6218F">
        <w:t xml:space="preserve">, </w:t>
      </w:r>
      <w:r w:rsidRPr="004802C8">
        <w:t xml:space="preserve">Yukon River </w:t>
      </w:r>
      <w:r w:rsidR="00E83FFC" w:rsidRPr="004802C8">
        <w:t>flow rates</w:t>
      </w:r>
      <w:r w:rsidRPr="004802C8">
        <w:t>, cumulative degree days for sea surface temperatures in the Northern Bering Sea</w:t>
      </w:r>
      <w:r w:rsidR="00E6218F">
        <w:t xml:space="preserve"> and </w:t>
      </w:r>
      <w:r w:rsidRPr="004802C8">
        <w:t>pollock recruitment index</w:t>
      </w:r>
      <w:r w:rsidR="00E6218F">
        <w:t xml:space="preserve">. </w:t>
      </w:r>
      <w:r w:rsidR="008D50E3">
        <w:t>W</w:t>
      </w:r>
      <w:r w:rsidR="008D50E3" w:rsidRPr="004802C8">
        <w:t xml:space="preserve">e included the mean trend in spawner size at age for spawners that returned during the juvenile brood year. </w:t>
      </w:r>
      <w:r w:rsidR="008D50E3">
        <w:t>S</w:t>
      </w:r>
      <w:r w:rsidR="008D50E3" w:rsidRPr="004802C8">
        <w:t xml:space="preserve">ize at age can impact reproduction potential and </w:t>
      </w:r>
      <w:r w:rsidR="008D50E3">
        <w:t>a</w:t>
      </w:r>
      <w:r w:rsidR="008D50E3" w:rsidRPr="004802C8">
        <w:t>ffect productivity</w:t>
      </w:r>
      <w:r w:rsidR="008D50E3">
        <w:t>.</w:t>
      </w:r>
      <w:r w:rsidR="008D50E3" w:rsidRPr="004802C8">
        <w:t xml:space="preserve"> </w:t>
      </w:r>
      <w:r w:rsidR="008D50E3">
        <w:t>W</w:t>
      </w:r>
      <w:r w:rsidR="008D50E3" w:rsidRPr="004802C8">
        <w:t xml:space="preserve">e hypothesized a positive relationship between size and productivity where bigger fish produce more offspring and have greater reproductive success </w:t>
      </w:r>
      <w:r w:rsidR="008D50E3" w:rsidRPr="004802C8">
        <w:fldChar w:fldCharType="begin"/>
      </w:r>
      <w:r w:rsidR="008D50E3"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4802C8">
        <w:fldChar w:fldCharType="separate"/>
      </w:r>
      <w:r w:rsidR="008D50E3" w:rsidRPr="004802C8">
        <w:rPr>
          <w:noProof/>
        </w:rPr>
        <w:t>(Ohlberger et al. 2020, Oke et al. 2020, Feddern et al. 2024)</w:t>
      </w:r>
      <w:r w:rsidR="008D50E3" w:rsidRPr="004802C8">
        <w:fldChar w:fldCharType="end"/>
      </w:r>
      <w:r w:rsidR="008D50E3" w:rsidRPr="004802C8">
        <w:t>. The Alaska Department of Fish and Game (ADFG) conducts standardized salmon escapement surveys across Alaska where they have recorded salmon length, sex and age since the 1990’s. This information is publicly available (Supplemental Table 1)</w:t>
      </w:r>
      <w:r w:rsidR="008D50E3">
        <w:t>. W</w:t>
      </w:r>
      <w:r w:rsidR="008D50E3" w:rsidRPr="004802C8">
        <w:t xml:space="preserve">e compiled Yukon River Chum salmon age and length data </w:t>
      </w:r>
      <w:r w:rsidR="008D50E3">
        <w:t xml:space="preserve">spanning </w:t>
      </w:r>
      <w:r w:rsidR="008D50E3" w:rsidRPr="004802C8">
        <w:t>2000-2021</w:t>
      </w:r>
      <w:r w:rsidR="003C426C">
        <w:t xml:space="preserve"> </w:t>
      </w:r>
      <w:r w:rsidR="008D50E3">
        <w:t xml:space="preserve">from project sites with current timeseries </w:t>
      </w:r>
      <w:r w:rsidR="003C426C">
        <w:t xml:space="preserve">and estimated a common trend </w:t>
      </w:r>
      <w:r w:rsidR="00186EF6">
        <w:t xml:space="preserve">in size at age </w:t>
      </w:r>
      <w:r w:rsidR="003C426C">
        <w:t xml:space="preserve">using a dynamic factor analysis (DFA) </w:t>
      </w:r>
      <w:r w:rsidR="00A04B2B">
        <w:t>(</w:t>
      </w:r>
      <w:r w:rsidR="00563890" w:rsidRPr="000170A9">
        <w:t>Text S</w:t>
      </w:r>
      <w:r w:rsidR="00A04B2B" w:rsidRPr="000170A9">
        <w:t>1.1,</w:t>
      </w:r>
      <w:r w:rsidR="003C426C">
        <w:t xml:space="preserve"> </w:t>
      </w:r>
      <w:r w:rsidR="008D50E3">
        <w:t xml:space="preserve">Table </w:t>
      </w:r>
      <w:r w:rsidR="00A04B2B">
        <w:t>S</w:t>
      </w:r>
      <w:r w:rsidR="008D50E3" w:rsidRPr="0070147F">
        <w:rPr>
          <w:b/>
          <w:bCs/>
        </w:rPr>
        <w:t>XX</w:t>
      </w:r>
      <w:r w:rsidR="008D50E3">
        <w:t>)</w:t>
      </w:r>
      <w:r w:rsidR="008D50E3" w:rsidRPr="004802C8">
        <w:t xml:space="preserve">. </w:t>
      </w:r>
    </w:p>
    <w:p w14:paraId="1649D74D" w14:textId="02BA1E42" w:rsidR="00592CA8" w:rsidRPr="004802C8" w:rsidRDefault="00B9454F" w:rsidP="002C4E3D">
      <w:pPr>
        <w:ind w:firstLine="720"/>
      </w:pPr>
      <w:r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data (cubic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6B58229F"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001A3C64">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(Iino et al. 2022, Farley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 xml:space="preserve">greater </w:t>
      </w:r>
      <w:r w:rsidR="00E6218F">
        <w:t xml:space="preserve">survival </w:t>
      </w:r>
      <w:r w:rsidR="00DD3235" w:rsidRPr="004802C8">
        <w:fldChar w:fldCharType="begin"/>
      </w:r>
      <w:r w:rsidR="001A3C64">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1A3C64">
        <w:rPr>
          <w:noProof/>
        </w:rPr>
        <w:t>(Beamish &amp; Mahnken 2001, Farley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(A</w:t>
      </w:r>
      <w:r w:rsidR="006E1DC1">
        <w:t>K</w:t>
      </w:r>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39136696" w14:textId="4C94813F" w:rsidR="00E91BE7" w:rsidRDefault="00DD3235" w:rsidP="008D50E3">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 xml:space="preserve">forage fish typically have patchy distributions making them difficult to survey and estimate reliable indices,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960AC1">
        <w:t>, and typically are the most abundant species in the forage fish biomass</w:t>
      </w:r>
      <w:r w:rsidR="00F43B6C">
        <w:t xml:space="preserve"> </w:t>
      </w:r>
      <w:r w:rsidR="00F43B6C">
        <w:fldChar w:fldCharType="begin"/>
      </w:r>
      <w:r w:rsidR="00F43B6C">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fldChar w:fldCharType="separate"/>
      </w:r>
      <w:r w:rsidR="00F43B6C">
        <w:rPr>
          <w:noProof/>
        </w:rPr>
        <w:t>(Hollowed et al. 2012)</w:t>
      </w:r>
      <w:r w:rsidR="00F43B6C">
        <w:fldChar w:fldCharType="end"/>
      </w:r>
      <w:r w:rsidR="00611CE6" w:rsidRPr="004802C8">
        <w:t xml:space="preserve">. </w:t>
      </w:r>
      <w:r w:rsidR="00066E44" w:rsidRPr="004802C8">
        <w:t xml:space="preserve">Young pollock represent a high-quality prey source for juvenile </w:t>
      </w:r>
      <w:r w:rsidR="002E5979">
        <w:t>C</w:t>
      </w:r>
      <w:r w:rsidR="00066E44" w:rsidRPr="004802C8">
        <w:t>hum</w:t>
      </w:r>
      <w:r w:rsidR="00474E2B">
        <w:t xml:space="preserve"> </w:t>
      </w:r>
      <w:r w:rsidR="00474E2B">
        <w:fldChar w:fldCharType="begin"/>
      </w:r>
      <w:r w:rsidR="00F43B6C">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474E2B">
        <w:fldChar w:fldCharType="separate"/>
      </w:r>
      <w:r w:rsidR="00F43B6C">
        <w:rPr>
          <w:noProof/>
        </w:rPr>
        <w:t>(Farley &amp; Moss 2009, Moss et al. 2009, Kaga et al. 2013)</w:t>
      </w:r>
      <w:r w:rsidR="00474E2B">
        <w:fldChar w:fldCharType="end"/>
      </w:r>
      <w:r w:rsidR="002E5979">
        <w:t>. High quality prey sources are</w:t>
      </w:r>
      <w:r w:rsidR="00066E44" w:rsidRPr="004802C8">
        <w:t xml:space="preserve"> important for lipid </w:t>
      </w:r>
      <w:r w:rsidR="00066E44" w:rsidRPr="004802C8">
        <w:lastRenderedPageBreak/>
        <w:t xml:space="preserve">accumulation and can lead to greater growth and productivity </w:t>
      </w:r>
      <w:r w:rsidR="00066E44" w:rsidRPr="004802C8">
        <w:fldChar w:fldCharType="begin"/>
      </w:r>
      <w:r w:rsidR="001A3C64">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1A3C64">
        <w:rPr>
          <w:noProof/>
        </w:rPr>
        <w:t>(Myers et al. 2009, Kaga et al. 2013, Farley et al. 2024)</w:t>
      </w:r>
      <w:r w:rsidR="00066E44" w:rsidRPr="004802C8">
        <w:fldChar w:fldCharType="end"/>
      </w:r>
      <w:r w:rsidR="00066E44" w:rsidRPr="004802C8">
        <w:t xml:space="preserve">. </w:t>
      </w:r>
    </w:p>
    <w:p w14:paraId="00CF43A1" w14:textId="21F4E1C3" w:rsidR="00313648" w:rsidRPr="004802C8" w:rsidRDefault="00313648" w:rsidP="00313648">
      <w:pPr>
        <w:pStyle w:val="Heading5"/>
      </w:pPr>
      <w:r>
        <w:t xml:space="preserve">2.5.1 </w:t>
      </w:r>
      <w:r>
        <w:t xml:space="preserve">First winter at </w:t>
      </w:r>
      <w:r>
        <w:t>sea</w:t>
      </w:r>
      <w:r>
        <w:t xml:space="preserve"> to terminal river harvest </w:t>
      </w:r>
    </w:p>
    <w:p w14:paraId="4FD82029" w14:textId="58CB6FE7" w:rsidR="00472BBA" w:rsidRPr="004802C8" w:rsidRDefault="00361875" w:rsidP="00472BBA">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w:t>
      </w:r>
      <w:r w:rsidR="007C2F23">
        <w:t xml:space="preserve">period from the </w:t>
      </w:r>
      <w:r w:rsidR="0032401E" w:rsidRPr="004802C8">
        <w:t>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 xml:space="preserve">individuals leave the Bering Sea and typically </w:t>
      </w:r>
      <w:r w:rsidR="007C2F23">
        <w:t>migrate</w:t>
      </w:r>
      <w:r w:rsidR="007C2F23" w:rsidRPr="004802C8">
        <w:t xml:space="preserve"> </w:t>
      </w:r>
      <w:r w:rsidRPr="004802C8">
        <w:t xml:space="preserve">to the Gulf of Alaska and the Aleutian </w:t>
      </w:r>
      <w:r w:rsidR="00E6218F">
        <w:t>Islands</w:t>
      </w:r>
      <w:r w:rsidRPr="004802C8">
        <w:t>,</w:t>
      </w:r>
      <w:r>
        <w:t xml:space="preserve"> where they feed and mature. </w:t>
      </w:r>
      <w:r w:rsidR="00472BBA">
        <w:t>We</w:t>
      </w:r>
      <w:r w:rsidR="0032401E" w:rsidRPr="004802C8">
        <w:t xml:space="preserve"> included </w:t>
      </w:r>
      <w:r w:rsidR="00472BBA">
        <w:t xml:space="preserve">the following covariates when estimating survival for </w:t>
      </w:r>
      <w:r w:rsidR="0032401E" w:rsidRPr="004802C8">
        <w:t>the</w:t>
      </w:r>
      <w:r w:rsidR="00472BBA">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t>:</w:t>
      </w:r>
      <w:r w:rsidR="00472BBA" w:rsidRPr="004802C8">
        <w:t xml:space="preserve"> fullness index, </w:t>
      </w:r>
      <w:r w:rsidR="00A427B2">
        <w:t xml:space="preserve">winter </w:t>
      </w:r>
      <w:r w:rsidR="00356E89" w:rsidRPr="004802C8">
        <w:t>CDD</w:t>
      </w:r>
      <w:r w:rsidR="0032401E" w:rsidRPr="004802C8">
        <w:t xml:space="preserve"> </w:t>
      </w:r>
      <w:r w:rsidR="00A427B2">
        <w:t>from</w:t>
      </w:r>
      <w:r w:rsidR="0032401E" w:rsidRPr="004802C8">
        <w:t xml:space="preserve"> the Eastern Aleutian Islands,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472BBA" w:rsidRPr="004802C8">
        <w:t xml:space="preserve">We included a juvenile stomach fullness index (SFI), to represent the conditions fish experience when they begin their first winter at sea, we hypothesized that a higher SFI, which represents better fish condition, would be positively related to adult productivity. The SFI is estimated from fullness data collected by the NBS 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w:t>
      </w:r>
      <w:r w:rsidR="00472BBA">
        <w:t xml:space="preserve">account for differences </w:t>
      </w:r>
      <w:r w:rsidR="00472BBA" w:rsidRPr="004802C8">
        <w:t xml:space="preserve">in the number of stomachs examined at each station, we used a generalized additive model to estimate an SFI. </w:t>
      </w:r>
      <w:r w:rsidR="00885339">
        <w:t>T</w:t>
      </w:r>
      <w:r w:rsidR="00885339" w:rsidRPr="004802C8">
        <w:t>he</w:t>
      </w:r>
      <w:r w:rsidR="00472BBA" w:rsidRPr="004802C8">
        <w:t xml:space="preserve"> model took the following form:</w:t>
      </w:r>
    </w:p>
    <w:p w14:paraId="3156A135" w14:textId="6CFD3269" w:rsidR="00472BBA" w:rsidRPr="004802C8"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4802C8">
        <w:rPr>
          <w:rFonts w:eastAsiaTheme="minorEastAsia"/>
          <w:color w:val="000000" w:themeColor="text1"/>
        </w:rPr>
        <w:t xml:space="preserve">           Eq. 4.16</w:t>
      </w:r>
    </w:p>
    <w:p w14:paraId="6383BC35" w14:textId="60A15D77" w:rsidR="00472BBA" w:rsidRPr="00020CA6" w:rsidRDefault="00472BBA" w:rsidP="00020CA6">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Pr>
          <w:rFonts w:eastAsiaTheme="minorEastAsia"/>
          <w:color w:val="000000" w:themeColor="text1"/>
        </w:rPr>
        <w:t xml:space="preserve"> 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Pr>
          <w:rFonts w:eastAsiaTheme="minorEastAsia"/>
          <w:color w:val="000000" w:themeColor="text1"/>
        </w:rPr>
        <w:t xml:space="preserve"> to estimate direct annual indices</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sidR="00020CA6">
        <w:rPr>
          <w:rFonts w:eastAsiaTheme="minorEastAsia"/>
        </w:rPr>
        <w:t>To generate standardized estimates used in the IPM, we predicted SFI across years f</w:t>
      </w:r>
      <w:r w:rsidR="007C2881">
        <w:rPr>
          <w:rFonts w:eastAsiaTheme="minorEastAsia"/>
        </w:rPr>
        <w:t>or</w:t>
      </w:r>
      <w:r w:rsidR="00020CA6">
        <w:rPr>
          <w:rFonts w:eastAsiaTheme="minorEastAsia"/>
        </w:rPr>
        <w:t xml:space="preserve"> the mean</w:t>
      </w:r>
      <w:r w:rsidR="00FD215A">
        <w:rPr>
          <w:rFonts w:eastAsiaTheme="minorEastAsia"/>
        </w:rPr>
        <w:t xml:space="preserve"> survey</w:t>
      </w:r>
      <w:r w:rsidR="00020CA6">
        <w:rPr>
          <w:rFonts w:eastAsiaTheme="minorEastAsia"/>
        </w:rPr>
        <w:t xml:space="preserve"> latitude and longitude</w:t>
      </w:r>
      <w:r w:rsidR="00FD215A">
        <w:rPr>
          <w:rFonts w:eastAsiaTheme="minorEastAsia"/>
        </w:rPr>
        <w:t xml:space="preserve"> in the dataset</w:t>
      </w:r>
      <w:r w:rsidR="00020CA6">
        <w:rPr>
          <w:rFonts w:eastAsiaTheme="minorEastAsia"/>
        </w:rPr>
        <w:t xml:space="preserve"> (</w:t>
      </w:r>
      <w:r w:rsidR="007B4332" w:rsidRPr="007B4332">
        <w:rPr>
          <w:rFonts w:eastAsiaTheme="minorEastAsia"/>
        </w:rPr>
        <w:t>62.0</w:t>
      </w:r>
      <w:r w:rsidR="00BB6EC1">
        <w:rPr>
          <w:rFonts w:eastAsiaTheme="minorEastAsia"/>
        </w:rPr>
        <w:sym w:font="Symbol" w:char="F0B0"/>
      </w:r>
      <w:r w:rsidR="00BB6EC1">
        <w:rPr>
          <w:rFonts w:eastAsiaTheme="minorEastAsia"/>
        </w:rPr>
        <w:t>N</w:t>
      </w:r>
      <w:r w:rsidR="007B4332" w:rsidRPr="007B4332">
        <w:rPr>
          <w:rFonts w:eastAsiaTheme="minorEastAsia"/>
        </w:rPr>
        <w:t>, -168.1</w:t>
      </w:r>
      <w:r w:rsidR="00BB6EC1">
        <w:rPr>
          <w:rFonts w:eastAsiaTheme="minorEastAsia"/>
        </w:rPr>
        <w:sym w:font="Symbol" w:char="F0B0"/>
      </w:r>
      <w:r w:rsidR="00BB6EC1">
        <w:rPr>
          <w:rFonts w:eastAsiaTheme="minorEastAsia"/>
        </w:rPr>
        <w:t>W</w:t>
      </w:r>
      <w:r w:rsidR="00020CA6">
        <w:rPr>
          <w:rFonts w:eastAsiaTheme="minorEastAsia"/>
        </w:rPr>
        <w:t xml:space="preserve">). </w:t>
      </w:r>
      <w:r w:rsidRPr="004802C8">
        <w:rPr>
          <w:rFonts w:eastAsiaTheme="minorEastAsia"/>
        </w:rPr>
        <w:t xml:space="preserve">The </w:t>
      </w:r>
      <w:r w:rsidR="007C2881">
        <w:rPr>
          <w:rFonts w:eastAsiaTheme="minorEastAsia"/>
        </w:rPr>
        <w:t xml:space="preserve">index </w:t>
      </w:r>
      <w:r w:rsidRPr="004802C8">
        <w:rPr>
          <w:rFonts w:eastAsiaTheme="minorEastAsia"/>
        </w:rPr>
        <w:t xml:space="preserve">model was assessed for convergence and residuals were assessed for homogeneity. </w:t>
      </w:r>
    </w:p>
    <w:p w14:paraId="278C7F0B" w14:textId="017E40AC" w:rsidR="00AF3D67" w:rsidRPr="004802C8" w:rsidRDefault="005A4EBD" w:rsidP="003E55AE">
      <w:pPr>
        <w:ind w:firstLine="720"/>
      </w:pPr>
      <w:r w:rsidRPr="004802C8">
        <w:t>We included winter Eastern Aleutian CDD to represent the temperature conditions that young Yukon River Chum salmon experienced during their first winter at sea</w:t>
      </w:r>
      <w:r w:rsidR="00A427B2">
        <w:t>. This stage</w:t>
      </w:r>
      <w:r w:rsidRPr="004802C8">
        <w:t xml:space="preserve"> is hypothesized as a critical survival bottleneck in the lifecycle </w:t>
      </w:r>
      <w:r w:rsidRPr="004802C8">
        <w:fldChar w:fldCharType="begin"/>
      </w:r>
      <w:r w:rsidR="001A3C64">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(Farley et al. 2024)</w:t>
      </w:r>
      <w:r w:rsidRPr="004802C8">
        <w:fldChar w:fldCharType="end"/>
      </w:r>
      <w:r w:rsidRPr="004802C8">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Pr="004802C8">
        <w:fldChar w:fldCharType="begin"/>
      </w:r>
      <w:r w:rsidR="001A3C64">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(Farley et al. 2024)</w:t>
      </w:r>
      <w:r w:rsidRPr="004802C8">
        <w:fldChar w:fldCharType="end"/>
      </w:r>
      <w:r w:rsidRPr="004802C8">
        <w:t xml:space="preserve">. </w:t>
      </w:r>
    </w:p>
    <w:p w14:paraId="3B695B1A" w14:textId="3F54610E" w:rsidR="002C695A" w:rsidRDefault="004B0011" w:rsidP="008432BC">
      <w:pPr>
        <w:ind w:firstLine="720"/>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r w:rsidR="002C695A">
        <w:t xml:space="preserve"> We </w:t>
      </w:r>
      <w:r w:rsidR="00E54B26">
        <w:t xml:space="preserve">use a </w:t>
      </w:r>
      <w:r w:rsidR="002C695A">
        <w:t xml:space="preserve">lagged </w:t>
      </w:r>
      <w:r w:rsidR="00E54B26">
        <w:t>tolling average of</w:t>
      </w:r>
      <w:r w:rsidR="002C695A">
        <w:t xml:space="preserve"> hatchery releases so that they occur in the model at a timestep where releases would overlap with Fall chum salmon in the ocean. For example, Chum salmon </w:t>
      </w:r>
      <w:r w:rsidR="002C695A" w:rsidRPr="002C695A">
        <w:t xml:space="preserve">hatchery releases in </w:t>
      </w:r>
      <w:r w:rsidR="002C695A">
        <w:t xml:space="preserve">brood </w:t>
      </w:r>
      <w:r w:rsidR="002C695A" w:rsidRPr="002C695A">
        <w:t xml:space="preserve">year </w:t>
      </w:r>
      <w:r w:rsidR="002C695A">
        <w:t>2000</w:t>
      </w:r>
      <w:r w:rsidR="002C695A" w:rsidRPr="002C695A">
        <w:t xml:space="preserve"> </w:t>
      </w:r>
      <w:r w:rsidR="002C695A">
        <w:t>could begin to interact with Yukon River Fall Chum salmon by 2002 (calendar year, t+2) and due to variation in age structure, brood year 20</w:t>
      </w:r>
      <w:r w:rsidR="00BB6EC1">
        <w:t>0</w:t>
      </w:r>
      <w:r w:rsidR="002C695A">
        <w:t xml:space="preserve">0 may </w:t>
      </w:r>
      <w:r w:rsidR="00E54B26">
        <w:t>continue</w:t>
      </w:r>
      <w:r w:rsidR="002C695A">
        <w:t xml:space="preserve"> to </w:t>
      </w:r>
      <w:r w:rsidR="00E54B26">
        <w:t xml:space="preserve">compete with wild Yukon River fall chum for 3 more years. To capture this, we include a three-year rolling average of </w:t>
      </w:r>
      <w:r w:rsidR="00E54B26">
        <w:lastRenderedPageBreak/>
        <w:t xml:space="preserve">hatchery releases from brood year t + 2. </w:t>
      </w:r>
      <w:r w:rsidR="002C695A">
        <w:t xml:space="preserve">While migration distances and times certainly vary from these different release points, we include hatchery releases </w:t>
      </w:r>
      <w:r w:rsidR="00611FE0">
        <w:t>to represent</w:t>
      </w:r>
      <w:r w:rsidR="002C695A">
        <w:t xml:space="preserve"> a coarse marine competition index. </w:t>
      </w:r>
      <w:r w:rsidR="00E54B26">
        <w:t xml:space="preserve">Since Pink salmon have a different life history than Chum salmon, we did not use a rolling average, we added a t+1 lag so pink salmon from brood year 2000 could compete with Yukon River Fall Chum in calendar year 2001. </w:t>
      </w:r>
    </w:p>
    <w:p w14:paraId="71942CB0" w14:textId="039A1FAA" w:rsidR="00E91BE7" w:rsidRPr="004802C8" w:rsidRDefault="002C695A" w:rsidP="008432BC">
      <w:pPr>
        <w:ind w:firstLine="720"/>
        <w:rPr>
          <w:rFonts w:eastAsiaTheme="minorEastAsia"/>
        </w:rPr>
      </w:pPr>
      <w:r>
        <w:t xml:space="preserve"> </w:t>
      </w:r>
    </w:p>
    <w:p w14:paraId="55B71E3F" w14:textId="4E88DFD7" w:rsidR="00E4758E" w:rsidRDefault="00E4758E" w:rsidP="00E4758E">
      <w:pPr>
        <w:pStyle w:val="Heading4"/>
      </w:pPr>
      <w:r>
        <w:t xml:space="preserve">3.1 Model Estimation </w:t>
      </w:r>
    </w:p>
    <w:p w14:paraId="6A9D4706" w14:textId="77777777" w:rsidR="008E5BE2" w:rsidRDefault="008E5BE2" w:rsidP="008E5BE2"/>
    <w:p w14:paraId="113C2817" w14:textId="5F6E548B" w:rsidR="008E5BE2" w:rsidRDefault="008E5BE2" w:rsidP="009B419E">
      <w:pPr>
        <w:ind w:firstLine="720"/>
      </w:pPr>
      <w:r>
        <w:t xml:space="preserve">Brood year abundances fluctuated annually between 2000-2018, however total return and juvenile abundances had the lowest abundances in different years. Total returns were XX% lower than the 2000-2018 mean and juvenile abundance was XX% lower than the </w:t>
      </w:r>
      <w:r>
        <w:t>2000-2018</w:t>
      </w:r>
      <w:r>
        <w:t xml:space="preserve"> juvenile abundance mean. </w:t>
      </w:r>
    </w:p>
    <w:p w14:paraId="1CA883E5" w14:textId="4303E4A0" w:rsidR="008E5BE2" w:rsidRDefault="009B419E" w:rsidP="0072113E">
      <w:pPr>
        <w:ind w:firstLine="720"/>
      </w:pPr>
      <w:r>
        <w:t xml:space="preserve">Plots of observed and predicted abundance indices indicate that the model generally captured trends in all data sources with limited bias (Figure 3). </w:t>
      </w:r>
      <w:r w:rsidR="008E5BE2">
        <w:t>Posterior predictive checks confirmed that models could simulate observations similar to those it was fit to (</w:t>
      </w:r>
      <w:r w:rsidR="008E5BE2" w:rsidRPr="008E5BE2">
        <w:rPr>
          <w:b/>
          <w:bCs/>
        </w:rPr>
        <w:t>statistic</w:t>
      </w:r>
      <w:r w:rsidR="008E5BE2">
        <w:t>). The effective sample sizes were all &gt;</w:t>
      </w:r>
      <w:r w:rsidR="008E5BE2" w:rsidRPr="008E5BE2">
        <w:rPr>
          <w:b/>
          <w:bCs/>
        </w:rPr>
        <w:t>XXXX</w:t>
      </w:r>
      <w:r w:rsidR="008E5BE2">
        <w:rPr>
          <w:b/>
          <w:bCs/>
        </w:rPr>
        <w:t xml:space="preserve"> </w:t>
      </w:r>
      <w:r w:rsidR="008E5BE2">
        <w:t>indicating more</w:t>
      </w:r>
      <w:r w:rsidR="008E5BE2">
        <w:t xml:space="preserve"> reliable estimates as more independent data points informing inference</w:t>
      </w:r>
      <w:r w:rsidR="008E5BE2">
        <w:t>s</w:t>
      </w:r>
      <w:r w:rsidR="00A97CBC">
        <w:t xml:space="preserve"> (</w:t>
      </w:r>
      <w:r w:rsidR="00A97CBC">
        <w:t>Table SXX</w:t>
      </w:r>
      <w:r w:rsidR="00A97CBC">
        <w:t>)</w:t>
      </w:r>
      <w:r w:rsidR="008E5BE2">
        <w:rPr>
          <w:b/>
          <w:bCs/>
        </w:rPr>
        <w:t xml:space="preserve">. </w:t>
      </w:r>
      <w:r w:rsidR="008E5BE2">
        <w:t xml:space="preserve">R-hat values were &lt;1.XX, indicating </w:t>
      </w:r>
      <w:r w:rsidR="0072113E">
        <w:t>that chains have mixed well and provide</w:t>
      </w:r>
      <w:r w:rsidR="008E5BE2">
        <w:t xml:space="preserve"> consistent parameter estimates</w:t>
      </w:r>
      <w:r w:rsidR="00A97CBC">
        <w:t xml:space="preserve"> (Table SXX)</w:t>
      </w:r>
      <w:r w:rsidR="008E5BE2">
        <w:t xml:space="preserve">. </w:t>
      </w:r>
      <w:r w:rsidR="00A97CBC">
        <w:t xml:space="preserve">Further, visual inspection of trace plots </w:t>
      </w:r>
      <w:r w:rsidR="00817395">
        <w:t>indicates</w:t>
      </w:r>
      <w:r w:rsidR="00A97CBC">
        <w:t xml:space="preserve"> model convergence (Figure S1). </w:t>
      </w:r>
    </w:p>
    <w:p w14:paraId="43740FB0" w14:textId="77777777" w:rsidR="00DD6B0C" w:rsidRDefault="00DD6B0C" w:rsidP="0072113E">
      <w:pPr>
        <w:ind w:firstLine="720"/>
      </w:pPr>
    </w:p>
    <w:p w14:paraId="219A39E4" w14:textId="2FF49CDC" w:rsidR="00DD6B0C" w:rsidRDefault="00DD6B0C" w:rsidP="00DD6B0C">
      <w:pPr>
        <w:pStyle w:val="ListParagraph"/>
        <w:numPr>
          <w:ilvl w:val="0"/>
          <w:numId w:val="4"/>
        </w:numPr>
      </w:pPr>
      <w:r>
        <w:t xml:space="preserve">Something about alpha and beta parameters in the Ricker?? Carrying capacity of river habitat? </w:t>
      </w:r>
    </w:p>
    <w:p w14:paraId="13637FE8" w14:textId="77777777" w:rsidR="0072113E" w:rsidRPr="008E5BE2" w:rsidRDefault="0072113E" w:rsidP="0072113E">
      <w:pPr>
        <w:ind w:firstLine="720"/>
      </w:pPr>
    </w:p>
    <w:p w14:paraId="28597716" w14:textId="77777777" w:rsidR="00E4758E" w:rsidRDefault="00E4758E" w:rsidP="00E4758E">
      <w:pPr>
        <w:pStyle w:val="Heading4"/>
      </w:pPr>
      <w:r>
        <w:t>3.2 Estimated Covariate Effects</w:t>
      </w:r>
    </w:p>
    <w:p w14:paraId="75F3D625" w14:textId="77777777" w:rsidR="0072113E" w:rsidRDefault="0072113E" w:rsidP="0072113E"/>
    <w:p w14:paraId="4D6BB486" w14:textId="0C049AFC" w:rsidR="005D30CC" w:rsidRDefault="0072113E" w:rsidP="00817395">
      <w:pPr>
        <w:ind w:firstLine="720"/>
      </w:pPr>
      <w:r>
        <w:t>Covariate effects here represent how ecosystem change impacts Chum salmon productivity</w:t>
      </w:r>
      <w:r w:rsidR="005D30CC">
        <w:t>. The effect size presented in the results represents the</w:t>
      </w:r>
      <w:r w:rsidR="005D30CC" w:rsidRPr="005D30CC">
        <w:t xml:space="preserve"> percent change in </w:t>
      </w:r>
      <w:r w:rsidR="005D30CC">
        <w:t xml:space="preserve">total returns or juvenile abundance (depending on the life stage covariate is applied) </w:t>
      </w:r>
      <w:r w:rsidR="005D30CC" w:rsidRPr="005D30CC">
        <w:t>for 1 standard deviation increase in the covariate</w:t>
      </w:r>
      <w:r w:rsidR="005D30CC">
        <w:t xml:space="preserve">. </w:t>
      </w:r>
    </w:p>
    <w:p w14:paraId="0045CD23" w14:textId="77777777" w:rsidR="0072113E" w:rsidRDefault="0072113E" w:rsidP="0072113E"/>
    <w:p w14:paraId="6D2EDADC" w14:textId="689118A5" w:rsidR="00916C0C" w:rsidRDefault="00916C0C" w:rsidP="0072113E">
      <w:r>
        <w:t xml:space="preserve">Uncertainty in estimating effects was greatest with Yukon River mean flow rates and Aleutian Island CDD winter temperature (Figure 4). </w:t>
      </w:r>
    </w:p>
    <w:p w14:paraId="172553C6" w14:textId="77777777" w:rsidR="00916C0C" w:rsidRDefault="00916C0C" w:rsidP="0072113E"/>
    <w:p w14:paraId="2551E98E" w14:textId="3C666CF0" w:rsidR="00916C0C" w:rsidRDefault="00916C0C" w:rsidP="0072113E">
      <w:r>
        <w:t xml:space="preserve">We found a strong positive effect of mean spawner size on juvenile productivity (estimate mean and CI, Table </w:t>
      </w:r>
      <w:r>
        <w:rPr>
          <w:b/>
          <w:bCs/>
        </w:rPr>
        <w:t>SXX</w:t>
      </w:r>
      <w:r>
        <w:t>, Figure 4).</w:t>
      </w:r>
    </w:p>
    <w:p w14:paraId="22CFAB84" w14:textId="77777777" w:rsidR="00916C0C" w:rsidRDefault="00916C0C" w:rsidP="0072113E"/>
    <w:p w14:paraId="12822736" w14:textId="413B7D05" w:rsidR="00C149D1" w:rsidRDefault="00916C0C" w:rsidP="0072113E">
      <w:r>
        <w:t xml:space="preserve">We found that </w:t>
      </w:r>
      <w:r w:rsidR="000F4830">
        <w:t>during the first winter at sea</w:t>
      </w:r>
      <w:r>
        <w:t xml:space="preserve">, there are negative effects of Aleutian winter temperature and Chum salmon hatchery release abundance on marine productivity. </w:t>
      </w:r>
      <w:r w:rsidR="00C149D1">
        <w:t>We also found a</w:t>
      </w:r>
      <w:r w:rsidR="00C149D1">
        <w:t xml:space="preserve"> positive effect of juvenile stomach fullness</w:t>
      </w:r>
      <w:r w:rsidR="00C149D1">
        <w:t xml:space="preserve"> on marine productivity, meaning that juveniles in better condition are more likely to survive their first winter at sea. </w:t>
      </w:r>
    </w:p>
    <w:p w14:paraId="5ED84932" w14:textId="72A9A6E7" w:rsidR="00916C0C" w:rsidRPr="0072113E" w:rsidRDefault="00C149D1" w:rsidP="0072113E">
      <w:r>
        <w:t xml:space="preserve"> </w:t>
      </w:r>
    </w:p>
    <w:p w14:paraId="1B6D49B7" w14:textId="2F6C3456" w:rsidR="00E4758E" w:rsidRPr="00E4758E" w:rsidRDefault="00E4758E" w:rsidP="00E4758E">
      <w:pPr>
        <w:pStyle w:val="Heading4"/>
      </w:pPr>
      <w:r>
        <w:t xml:space="preserve">3.3 Sensitivity Analysis </w:t>
      </w:r>
    </w:p>
    <w:p w14:paraId="17D956BC" w14:textId="718042AC" w:rsidR="00E4758E" w:rsidRDefault="00FB3475" w:rsidP="000F4830">
      <w:pPr>
        <w:pStyle w:val="CommentText"/>
        <w:ind w:firstLine="720"/>
        <w:rPr>
          <w:sz w:val="24"/>
          <w:szCs w:val="24"/>
        </w:rPr>
      </w:pPr>
      <w:r>
        <w:rPr>
          <w:sz w:val="24"/>
          <w:szCs w:val="24"/>
        </w:rPr>
        <w:t xml:space="preserve">To understand model sensitivity to </w:t>
      </w:r>
      <w:r w:rsidR="00B14CC9">
        <w:rPr>
          <w:sz w:val="24"/>
          <w:szCs w:val="24"/>
        </w:rPr>
        <w:t>each covariate</w:t>
      </w:r>
      <w:r w:rsidR="000F4830">
        <w:rPr>
          <w:sz w:val="24"/>
          <w:szCs w:val="24"/>
        </w:rPr>
        <w:t xml:space="preserve"> that we included</w:t>
      </w:r>
      <w:r w:rsidR="00B14CC9">
        <w:rPr>
          <w:sz w:val="24"/>
          <w:szCs w:val="24"/>
        </w:rPr>
        <w:t>, we iteratively ran the model with one covariate removed and evaluated the changes in theta (Figure S</w:t>
      </w:r>
      <w:r w:rsidR="000F4830">
        <w:rPr>
          <w:sz w:val="24"/>
          <w:szCs w:val="24"/>
        </w:rPr>
        <w:t>3</w:t>
      </w:r>
      <w:r w:rsidR="00B14CC9">
        <w:rPr>
          <w:sz w:val="24"/>
          <w:szCs w:val="24"/>
        </w:rPr>
        <w:t>).</w:t>
      </w:r>
      <w:r w:rsidR="000F4830">
        <w:rPr>
          <w:sz w:val="24"/>
          <w:szCs w:val="24"/>
        </w:rPr>
        <w:t xml:space="preserve"> We found that </w:t>
      </w:r>
      <w:r w:rsidR="000F4830">
        <w:rPr>
          <w:sz w:val="24"/>
          <w:szCs w:val="24"/>
        </w:rPr>
        <w:lastRenderedPageBreak/>
        <w:t xml:space="preserve">the covariate estimates were robust to changes in covariates. Specifically, the relative difference in theta estimates </w:t>
      </w:r>
      <w:r w:rsidR="00DD6B0C">
        <w:rPr>
          <w:sz w:val="24"/>
          <w:szCs w:val="24"/>
        </w:rPr>
        <w:t>did not exceed</w:t>
      </w:r>
      <w:r w:rsidR="000F4830">
        <w:rPr>
          <w:sz w:val="24"/>
          <w:szCs w:val="24"/>
        </w:rPr>
        <w:t xml:space="preserve"> XX (Figure S3). </w:t>
      </w:r>
    </w:p>
    <w:p w14:paraId="4C2838D4" w14:textId="2B47E336" w:rsidR="00B14CC9" w:rsidRPr="004802C8" w:rsidRDefault="000F4830" w:rsidP="0046012A">
      <w:pPr>
        <w:pStyle w:val="CommentText"/>
        <w:rPr>
          <w:sz w:val="24"/>
          <w:szCs w:val="24"/>
        </w:rPr>
      </w:pPr>
      <w:r>
        <w:rPr>
          <w:sz w:val="24"/>
          <w:szCs w:val="24"/>
        </w:rPr>
        <w:t xml:space="preserve"> </w:t>
      </w: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14B9B7B8" w:rsidR="00AF63FE" w:rsidRDefault="008D50E3" w:rsidP="00DD6B0C">
      <w:pPr>
        <w:pStyle w:val="Heading3"/>
      </w:pPr>
      <w:r>
        <w:t>Discussion</w:t>
      </w:r>
    </w:p>
    <w:p w14:paraId="0046DEBA" w14:textId="77777777" w:rsidR="008D50E3" w:rsidRDefault="008D50E3" w:rsidP="0046012A">
      <w:pPr>
        <w:pStyle w:val="CommentText"/>
        <w:rPr>
          <w:sz w:val="24"/>
          <w:szCs w:val="24"/>
        </w:rPr>
      </w:pPr>
    </w:p>
    <w:p w14:paraId="654264FE" w14:textId="2CFB64CE" w:rsidR="008D50E3" w:rsidRDefault="008D50E3" w:rsidP="0046012A">
      <w:pPr>
        <w:pStyle w:val="CommentText"/>
        <w:rPr>
          <w:sz w:val="24"/>
          <w:szCs w:val="24"/>
        </w:rPr>
      </w:pPr>
      <w:r>
        <w:rPr>
          <w:sz w:val="24"/>
          <w:szCs w:val="24"/>
        </w:rPr>
        <w:t xml:space="preserve">Choice around size as a covariate rather than part of the model: </w:t>
      </w:r>
    </w:p>
    <w:p w14:paraId="288D4587" w14:textId="75348433" w:rsidR="008D50E3" w:rsidRPr="004802C8" w:rsidRDefault="008D50E3" w:rsidP="008D50E3">
      <w:pPr>
        <w:pStyle w:val="CommentText"/>
        <w:numPr>
          <w:ilvl w:val="0"/>
          <w:numId w:val="1"/>
        </w:numPr>
        <w:rPr>
          <w:sz w:val="24"/>
          <w:szCs w:val="24"/>
        </w:rPr>
      </w:pPr>
      <w:r w:rsidRPr="008D50E3">
        <w:rPr>
          <w:sz w:val="24"/>
          <w:szCs w:val="24"/>
        </w:rPr>
        <w:t>I think we discussed this before – that you could include size-specific fecundity rather than age-specific fecundity in your model directly. I think it is OK to do it as you have done it, and nice that it allows you to compare a model with/without the size effect, but you’ll probably need to address it in the discussion</w:t>
      </w: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3D391F25" w:rsidR="00AF63FE" w:rsidRDefault="00885339" w:rsidP="0046012A">
      <w:pPr>
        <w:pStyle w:val="CommentText"/>
        <w:rPr>
          <w:sz w:val="24"/>
          <w:szCs w:val="24"/>
        </w:rPr>
      </w:pPr>
      <w:r>
        <w:rPr>
          <w:sz w:val="24"/>
          <w:szCs w:val="24"/>
        </w:rPr>
        <w:t>From:</w:t>
      </w:r>
      <w:r w:rsidRPr="00885339">
        <w:t xml:space="preserve"> </w:t>
      </w:r>
      <w:r>
        <w:t xml:space="preserve"> </w:t>
      </w:r>
      <w:proofErr w:type="spellStart"/>
      <w:r w:rsidRPr="00885339">
        <w:rPr>
          <w:sz w:val="24"/>
          <w:szCs w:val="24"/>
        </w:rPr>
        <w:t>Jallen</w:t>
      </w:r>
      <w:proofErr w:type="spellEnd"/>
      <w:r w:rsidRPr="00885339">
        <w:rPr>
          <w:sz w:val="24"/>
          <w:szCs w:val="24"/>
        </w:rPr>
        <w:t xml:space="preserve">, D. M., C. M. Gleason, B. M. Borba, F. W. West, S. K. S. Decker, and S. R. </w:t>
      </w:r>
      <w:proofErr w:type="spellStart"/>
      <w:r w:rsidRPr="00885339">
        <w:rPr>
          <w:sz w:val="24"/>
          <w:szCs w:val="24"/>
        </w:rPr>
        <w:t>Ransbury</w:t>
      </w:r>
      <w:proofErr w:type="spellEnd"/>
      <w:r w:rsidRPr="00885339">
        <w:rPr>
          <w:sz w:val="24"/>
          <w:szCs w:val="24"/>
        </w:rPr>
        <w:t>. 2022. Yukon River salmon stock status and salmon fisheries, 2022: A report to the Alaska Board of Fisheries, January 2023. Alaska Department of Fish and Game, Special Publication No. 22-20, Anchorage.</w:t>
      </w:r>
    </w:p>
    <w:p w14:paraId="04C06CF0" w14:textId="7D2D156E" w:rsidR="00885339" w:rsidRPr="004802C8" w:rsidRDefault="00885339" w:rsidP="00885339">
      <w:pPr>
        <w:pStyle w:val="CommentText"/>
        <w:numPr>
          <w:ilvl w:val="0"/>
          <w:numId w:val="1"/>
        </w:numPr>
        <w:rPr>
          <w:sz w:val="24"/>
          <w:szCs w:val="24"/>
        </w:rPr>
      </w:pPr>
      <w:r>
        <w:rPr>
          <w:sz w:val="24"/>
          <w:szCs w:val="24"/>
        </w:rPr>
        <w:t>“</w:t>
      </w:r>
      <w:r w:rsidRPr="00885339">
        <w:rPr>
          <w:sz w:val="24"/>
          <w:szCs w:val="24"/>
        </w:rPr>
        <w:t>Habitat issues such as geological changes in aquifers of upwelling waters would have a drastic effect on the suitability for spawning beds. Severe cold winters with low levels of insulating snow could reduce the available habitat if freezing occurred deep enough or caused areas to become dewatered.</w:t>
      </w:r>
      <w:r>
        <w:rPr>
          <w:sz w:val="24"/>
          <w:szCs w:val="24"/>
        </w:rPr>
        <w:t>”</w:t>
      </w:r>
    </w:p>
    <w:p w14:paraId="56222F1D" w14:textId="77777777" w:rsidR="00AF63FE" w:rsidRPr="004802C8" w:rsidRDefault="00AF63FE" w:rsidP="0046012A">
      <w:pPr>
        <w:pStyle w:val="CommentText"/>
        <w:rPr>
          <w:sz w:val="24"/>
          <w:szCs w:val="24"/>
        </w:rPr>
      </w:pPr>
    </w:p>
    <w:p w14:paraId="6D55D9C7" w14:textId="31AF3125" w:rsidR="00AF63FE" w:rsidRPr="004802C8" w:rsidRDefault="00916C0C" w:rsidP="0046012A">
      <w:pPr>
        <w:pStyle w:val="CommentText"/>
        <w:rPr>
          <w:sz w:val="24"/>
          <w:szCs w:val="24"/>
        </w:rPr>
      </w:pPr>
      <w:r>
        <w:rPr>
          <w:sz w:val="24"/>
          <w:szCs w:val="24"/>
        </w:rPr>
        <w:t xml:space="preserve">Stomach fullness used but the lipid content (double check exactly what it is) is better reflector of ecosystem conditions, we just didn’t have that for the length of the time series used. </w:t>
      </w: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2EDB97BA" w14:textId="2DC36D54" w:rsidR="00C149D1" w:rsidRDefault="00C149D1" w:rsidP="00C149D1">
      <w:r>
        <w:t xml:space="preserve">SFI - </w:t>
      </w:r>
      <w:r>
        <w:t xml:space="preserve">This indicates that </w:t>
      </w:r>
      <w:r>
        <w:t xml:space="preserve">indices of condition rather than </w:t>
      </w:r>
      <w:r>
        <w:t>juvenile abundance</w:t>
      </w:r>
      <w:r>
        <w:t xml:space="preserve"> alone could be the best indicators of return productivity.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58D2520C" w:rsidR="00AF63FE" w:rsidRDefault="00A04B2B" w:rsidP="00A04B2B">
      <w:pPr>
        <w:pStyle w:val="Heading4"/>
      </w:pPr>
      <w:r>
        <w:t>Supplement</w:t>
      </w:r>
      <w:r w:rsidR="00771BCC">
        <w:t>al</w:t>
      </w:r>
      <w:r>
        <w:t xml:space="preserve"> Text:</w:t>
      </w:r>
    </w:p>
    <w:p w14:paraId="533F339D" w14:textId="67540940" w:rsidR="00A04B2B" w:rsidRDefault="00A04B2B" w:rsidP="00A04B2B">
      <w:pPr>
        <w:pStyle w:val="Heading5"/>
        <w:numPr>
          <w:ilvl w:val="1"/>
          <w:numId w:val="2"/>
        </w:numPr>
      </w:pPr>
      <w:r>
        <w:t>Dynamic Factor Analysis for Spawner Size</w:t>
      </w:r>
    </w:p>
    <w:p w14:paraId="3AB62604" w14:textId="5E28BCC9" w:rsidR="0038279E" w:rsidRPr="00A04B2B" w:rsidRDefault="00A04B2B" w:rsidP="001E791E">
      <w:pPr>
        <w:ind w:firstLine="380"/>
      </w:pPr>
      <w:r w:rsidRPr="00A04B2B">
        <w:t xml:space="preserve">To </w:t>
      </w:r>
      <w:r w:rsidR="0038279E">
        <w:t xml:space="preserve">estimate a </w:t>
      </w:r>
      <w:r w:rsidRPr="00A04B2B">
        <w:t>temporal trend</w:t>
      </w:r>
      <w:r w:rsidR="0038279E">
        <w:t xml:space="preserve"> for</w:t>
      </w:r>
      <w:r w:rsidRPr="00A04B2B">
        <w:t xml:space="preserve"> </w:t>
      </w:r>
      <w:r w:rsidR="0038279E">
        <w:t xml:space="preserve">Yukon River Fall </w:t>
      </w:r>
      <w:r w:rsidRPr="00A04B2B">
        <w:t xml:space="preserve">chum </w:t>
      </w:r>
      <w:proofErr w:type="gramStart"/>
      <w:r w:rsidR="001E791E" w:rsidRPr="00A04B2B">
        <w:t>salmon</w:t>
      </w:r>
      <w:proofErr w:type="gramEnd"/>
      <w:r w:rsidR="001E791E">
        <w:t xml:space="preserve"> </w:t>
      </w:r>
      <w:r w:rsidR="0038279E">
        <w:t>mean size at age,</w:t>
      </w:r>
      <w:r w:rsidRPr="00A04B2B">
        <w:t xml:space="preserve"> we conducted a dynamic factor analysis (DFA) using data from the Yukon region collected between </w:t>
      </w:r>
      <w:r w:rsidR="0038279E" w:rsidRPr="004802C8">
        <w:t>2000-2021</w:t>
      </w:r>
      <w:r w:rsidR="0038279E">
        <w:t>.</w:t>
      </w:r>
      <w:r w:rsidR="001E791E">
        <w:t xml:space="preserve"> Data from 2000 to 2016 was collated by </w:t>
      </w:r>
      <w:proofErr w:type="spellStart"/>
      <w:r w:rsidR="001E791E">
        <w:t>Oke</w:t>
      </w:r>
      <w:proofErr w:type="spellEnd"/>
      <w:r w:rsidR="001E791E">
        <w:t xml:space="preserve"> et al, and more recent years were downloaded from the Alaska Department of Fish and Game Age Sex Length Database (</w:t>
      </w:r>
      <w:r w:rsidR="00474E2B">
        <w:fldChar w:fldCharType="begin"/>
      </w:r>
      <w:r w:rsidR="00474E2B">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fldChar w:fldCharType="separate"/>
      </w:r>
      <w:r w:rsidR="00474E2B">
        <w:rPr>
          <w:noProof/>
        </w:rPr>
        <w:t>(Alaska Department of Fish and Game 2024)</w:t>
      </w:r>
      <w:r w:rsidR="00474E2B">
        <w:fldChar w:fldCharType="end"/>
      </w:r>
      <w:r w:rsidR="001E791E">
        <w:t xml:space="preserve">) for all escapement projects with recent data (Table SXX). </w:t>
      </w:r>
      <w:r w:rsidRPr="00A04B2B">
        <w:t xml:space="preserve">We filtered the data to include only escapement samples and </w:t>
      </w:r>
      <w:r w:rsidR="001E791E">
        <w:t>marine</w:t>
      </w:r>
      <w:r w:rsidR="001E791E" w:rsidRPr="00A04B2B">
        <w:t xml:space="preserve"> </w:t>
      </w:r>
      <w:r w:rsidRPr="00A04B2B">
        <w:t xml:space="preserve">ages ranging from </w:t>
      </w:r>
      <w:r w:rsidR="0038279E">
        <w:t>3</w:t>
      </w:r>
      <w:r w:rsidRPr="00A04B2B">
        <w:t>-</w:t>
      </w:r>
      <w:r w:rsidR="0038279E">
        <w:t>6</w:t>
      </w:r>
      <w:r w:rsidRPr="00A04B2B">
        <w:t xml:space="preserve"> years. </w:t>
      </w:r>
      <w:r w:rsidRPr="00A04B2B">
        <w:lastRenderedPageBreak/>
        <w:t xml:space="preserve">Prior to analysis, length measurements were standardized within each </w:t>
      </w:r>
      <w:r w:rsidR="001E791E">
        <w:t>marine</w:t>
      </w:r>
      <w:r w:rsidRPr="00A04B2B">
        <w:t xml:space="preserve"> age group to have a mean of 0 and standard deviation of 1.</w:t>
      </w:r>
    </w:p>
    <w:p w14:paraId="5169C23E" w14:textId="2BF8A4B2" w:rsidR="00A04B2B" w:rsidRPr="00A04B2B" w:rsidRDefault="00A04B2B" w:rsidP="00173C6B">
      <w:pPr>
        <w:ind w:firstLine="380"/>
      </w:pPr>
      <w:r w:rsidRPr="00A04B2B">
        <w:t>The DFA was implemented using the MARSS package in R</w:t>
      </w:r>
      <w:r w:rsidR="008D18D8">
        <w:t xml:space="preserve"> </w:t>
      </w:r>
      <w:r w:rsidR="00474E2B">
        <w:t>t</w:t>
      </w:r>
      <w:r w:rsidRPr="00A04B2B">
        <w:t>o identify common trends in body size across different ocean residence times</w:t>
      </w:r>
      <w:r w:rsidR="00474E2B">
        <w:t xml:space="preserve"> </w:t>
      </w:r>
      <w:r w:rsidR="00474E2B">
        <w:fldChar w:fldCharType="begin"/>
      </w:r>
      <w:r w:rsidR="00474E2B">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fldChar w:fldCharType="separate"/>
      </w:r>
      <w:r w:rsidR="00474E2B">
        <w:rPr>
          <w:noProof/>
        </w:rPr>
        <w:t>(Holmes et al. 2024)</w:t>
      </w:r>
      <w:r w:rsidR="00474E2B">
        <w:fldChar w:fldCharType="end"/>
      </w:r>
      <w:r w:rsidRPr="00A04B2B">
        <w:t>. Our model treated the standardized lengths as linear combinations of latent trends</w:t>
      </w:r>
      <w:r w:rsidR="006E673B">
        <w:t xml:space="preserve"> and relates the observed data to overall estimated length trend. This was </w:t>
      </w:r>
      <w:r w:rsidRPr="00A04B2B">
        <w:t xml:space="preserve">expressed </w:t>
      </w:r>
      <w:r w:rsidR="00527F71">
        <w:t>in our observation model as</w:t>
      </w:r>
      <w:r w:rsidRPr="00A04B2B">
        <w:t>:</w:t>
      </w:r>
    </w:p>
    <w:p w14:paraId="3646B5BE" w14:textId="77777777" w:rsidR="0038279E" w:rsidRDefault="0038279E" w:rsidP="00A04B2B"/>
    <w:p w14:paraId="75EC8930" w14:textId="6CA88C64" w:rsidR="0038279E"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A04B2B" w:rsidRDefault="0038279E" w:rsidP="00A04B2B"/>
    <w:p w14:paraId="7AC6BBAF" w14:textId="1D5B451D" w:rsidR="00A04B2B" w:rsidRPr="00A04B2B" w:rsidRDefault="00A04B2B" w:rsidP="00A04B2B">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rsidR="009B4DE7">
        <w:t>the</w:t>
      </w:r>
      <w:r w:rsidRPr="00A04B2B">
        <w:t xml:space="preserve"> observed data (with </w:t>
      </w:r>
      <w:r w:rsidR="00BA4383">
        <w:t xml:space="preserve">marine </w:t>
      </w:r>
      <w:r w:rsidRPr="00A04B2B">
        <w:t xml:space="preserve">ages as rows and years as columns), </w:t>
      </w:r>
      <w:r w:rsidRPr="009B4DE7">
        <w:rPr>
          <w:b/>
          <w:bCs/>
        </w:rPr>
        <w:t>Z</w:t>
      </w:r>
      <w:r w:rsidRPr="00A04B2B">
        <w:t xml:space="preserve"> is a matrix of factor loadings </w:t>
      </w:r>
      <w:r w:rsidR="009B4DE7">
        <w:t xml:space="preserve">(0,1) </w:t>
      </w:r>
      <w:r w:rsidRPr="00A04B2B">
        <w:t xml:space="preserve">on the latent trends </w:t>
      </w:r>
      <w:r w:rsidR="009B4DE7">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76923E18" w14:textId="77777777" w:rsidR="0038279E" w:rsidRDefault="0038279E" w:rsidP="00A04B2B"/>
    <w:p w14:paraId="351B30F2" w14:textId="04BAE452" w:rsidR="00A04B2B" w:rsidRPr="00A04B2B" w:rsidRDefault="00A04B2B" w:rsidP="00A04B2B">
      <w:r w:rsidRPr="00A04B2B">
        <w:t xml:space="preserve">The </w:t>
      </w:r>
      <w:r w:rsidR="00527F71">
        <w:t xml:space="preserve">process model estimates the </w:t>
      </w:r>
      <w:r w:rsidRPr="00A04B2B">
        <w:t>latent trend</w:t>
      </w:r>
      <w:r w:rsidR="00527F71">
        <w:t xml:space="preserve"> in spawner size across ages as</w:t>
      </w:r>
      <w:r w:rsidRPr="00A04B2B">
        <w:t xml:space="preserve"> a random walk with process error:</w:t>
      </w:r>
    </w:p>
    <w:p w14:paraId="02FE13B4" w14:textId="77777777" w:rsidR="0038279E" w:rsidRDefault="0038279E" w:rsidP="00A04B2B"/>
    <w:p w14:paraId="6E604EEB" w14:textId="5AD38B28" w:rsidR="00173C6B"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Default="00173C6B" w:rsidP="00A04B2B"/>
    <w:p w14:paraId="580A5F92" w14:textId="251F8110" w:rsidR="0038279E" w:rsidRPr="0038279E" w:rsidRDefault="00A04B2B" w:rsidP="00771BCC">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t xml:space="preserve"> is the state, or the spawner length trend, </w:t>
      </w:r>
      <w:r w:rsidR="006E673B">
        <w:t>for each calendar year,</w:t>
      </w:r>
      <w:r w:rsidR="006E673B" w:rsidRPr="006E673B">
        <w:t xml:space="preserve"> </w:t>
      </w:r>
      <w:r w:rsidR="006E673B">
        <w:t xml:space="preserve">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t xml:space="preserve"> </w:t>
      </w:r>
      <w:r w:rsidRPr="00A04B2B">
        <w:t>represents process errors assumed to be multivariate normal with mean zero and variance-covariance matrix</w:t>
      </w:r>
      <w:r w:rsidRPr="00527F71">
        <w:rPr>
          <w:b/>
          <w:bCs/>
        </w:rPr>
        <w:t xml:space="preserve"> Q</w:t>
      </w:r>
      <w:r w:rsidRPr="00A04B2B">
        <w:t>.</w:t>
      </w:r>
      <w:r w:rsidR="0038279E" w:rsidRPr="0038279E">
        <w:t xml:space="preserve"> Model parameters and states were estimated using maximum likelihood via the MARSS package, with model convergence set to a maximum of 1000 iterations.</w:t>
      </w:r>
    </w:p>
    <w:p w14:paraId="483FE7C7" w14:textId="77777777" w:rsidR="0038279E" w:rsidRDefault="0038279E" w:rsidP="00A04B2B"/>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55BAA736" w14:textId="77777777" w:rsidR="00F43B6C" w:rsidRPr="00F43B6C" w:rsidRDefault="00AC2C20" w:rsidP="00F43B6C">
      <w:pPr>
        <w:pStyle w:val="Bibliography"/>
      </w:pPr>
      <w:r w:rsidRPr="004802C8">
        <w:fldChar w:fldCharType="begin"/>
      </w:r>
      <w:r w:rsidR="00F43B6C">
        <w:instrText xml:space="preserve"> ADDIN ZOTERO_BIBL {"uncited":[],"omitted":[],"custom":[]} CSL_BIBLIOGRAPHY </w:instrText>
      </w:r>
      <w:r w:rsidRPr="004802C8">
        <w:fldChar w:fldCharType="separate"/>
      </w:r>
      <w:r w:rsidR="00F43B6C" w:rsidRPr="00F43B6C">
        <w:t>Alaska Department of Fish and Game (2024) ASL - Age Sex Length Database.</w:t>
      </w:r>
    </w:p>
    <w:p w14:paraId="74ADA2C0" w14:textId="77777777" w:rsidR="00F43B6C" w:rsidRPr="00F43B6C" w:rsidRDefault="00F43B6C" w:rsidP="00F43B6C">
      <w:pPr>
        <w:pStyle w:val="Bibliography"/>
      </w:pPr>
      <w:r w:rsidRPr="00F43B6C">
        <w:t>Beamish RJ (2018) The Ocean Ecology of Pacific Salmon and Trout. American Fisheries Society, Bethesda Maryland.</w:t>
      </w:r>
    </w:p>
    <w:p w14:paraId="44499251" w14:textId="77777777" w:rsidR="00F43B6C" w:rsidRPr="00F43B6C" w:rsidRDefault="00F43B6C" w:rsidP="00F43B6C">
      <w:pPr>
        <w:pStyle w:val="Bibliography"/>
      </w:pPr>
      <w:r w:rsidRPr="00F43B6C">
        <w:t>Beamish RJ, Mahnken C (2001) A critical size and period hypothesis to explain natural regulation of salmon abundance and the linkage to climate and climate change. Progress in Oceanography 49:423–437.</w:t>
      </w:r>
    </w:p>
    <w:p w14:paraId="557EFCEC" w14:textId="77777777" w:rsidR="00F43B6C" w:rsidRPr="00F43B6C" w:rsidRDefault="00F43B6C" w:rsidP="00F43B6C">
      <w:pPr>
        <w:pStyle w:val="Bibliography"/>
      </w:pPr>
      <w:proofErr w:type="spellStart"/>
      <w:r w:rsidRPr="00F43B6C">
        <w:t>Besbeas</w:t>
      </w:r>
      <w:proofErr w:type="spellEnd"/>
      <w:r w:rsidRPr="00F43B6C">
        <w:t xml:space="preserve"> P, Freeman SN, Morgan BJT, Catchpole EA (2002) Integrating Mark–Recapture–Recovery and Census Data to Estimate Animal Abundance and Demographic Parameters. Biometrics 58:540–547.</w:t>
      </w:r>
    </w:p>
    <w:p w14:paraId="03B9DF3A" w14:textId="77777777" w:rsidR="00F43B6C" w:rsidRPr="00F43B6C" w:rsidRDefault="00F43B6C" w:rsidP="00F43B6C">
      <w:pPr>
        <w:pStyle w:val="Bibliography"/>
      </w:pPr>
      <w:r w:rsidRPr="00F43B6C">
        <w:t>Brooks SP, Gelman A (1998) General Methods for Monitoring Convergence of Iterative Simulations. Journal of Computational and Graphical Statistics 7:434–455.</w:t>
      </w:r>
    </w:p>
    <w:p w14:paraId="0CB5605B" w14:textId="77777777" w:rsidR="00F43B6C" w:rsidRPr="00F43B6C" w:rsidRDefault="00F43B6C" w:rsidP="00F43B6C">
      <w:pPr>
        <w:pStyle w:val="Bibliography"/>
      </w:pPr>
      <w:r w:rsidRPr="00F43B6C">
        <w:t xml:space="preserve">Carpenter B, Gelman A, Hoffman MD, Lee D, Goodrich B, Betancourt M, Brubaker MA, Guo J, Li P, Riddell A (2017) Stan: A Probabilistic Programming Language. J Stat </w:t>
      </w:r>
      <w:proofErr w:type="spellStart"/>
      <w:r w:rsidRPr="00F43B6C">
        <w:t>Softw</w:t>
      </w:r>
      <w:proofErr w:type="spellEnd"/>
      <w:r w:rsidRPr="00F43B6C">
        <w:t xml:space="preserve"> 76:1.</w:t>
      </w:r>
    </w:p>
    <w:p w14:paraId="253E43F3" w14:textId="77777777" w:rsidR="00F43B6C" w:rsidRPr="00F43B6C" w:rsidRDefault="00F43B6C" w:rsidP="00F43B6C">
      <w:pPr>
        <w:pStyle w:val="Bibliography"/>
      </w:pPr>
      <w:r w:rsidRPr="00F43B6C">
        <w:t xml:space="preserve">Crozier LG, Burke BJ, </w:t>
      </w:r>
      <w:proofErr w:type="spellStart"/>
      <w:r w:rsidRPr="00F43B6C">
        <w:t>Chasco</w:t>
      </w:r>
      <w:proofErr w:type="spellEnd"/>
      <w:r w:rsidRPr="00F43B6C">
        <w:t xml:space="preserve"> BE, Widener DL, Zabel RW (2021) Climate change threatens Chinook salmon throughout their life cycle. Commun Biol 4:1–14.</w:t>
      </w:r>
    </w:p>
    <w:p w14:paraId="60C1804A" w14:textId="77777777" w:rsidR="00F43B6C" w:rsidRPr="00F43B6C" w:rsidRDefault="00F43B6C" w:rsidP="00F43B6C">
      <w:pPr>
        <w:pStyle w:val="Bibliography"/>
      </w:pPr>
      <w:r w:rsidRPr="00F43B6C">
        <w:t xml:space="preserve">Cunningham CJ, Westley PAH, Adkison MD (2018) Signals of </w:t>
      </w:r>
      <w:proofErr w:type="gramStart"/>
      <w:r w:rsidRPr="00F43B6C">
        <w:t>large scale</w:t>
      </w:r>
      <w:proofErr w:type="gramEnd"/>
      <w:r w:rsidRPr="00F43B6C">
        <w:t xml:space="preserve"> climate drivers, hatchery enhancement, and marine factors in Yukon River Chinook salmon survival revealed with a Bayesian life history model. Global Change Biology 24:4399–4416.</w:t>
      </w:r>
    </w:p>
    <w:p w14:paraId="7A638DDE" w14:textId="77777777" w:rsidR="00F43B6C" w:rsidRPr="00F43B6C" w:rsidRDefault="00F43B6C" w:rsidP="00F43B6C">
      <w:pPr>
        <w:pStyle w:val="Bibliography"/>
      </w:pPr>
      <w:r w:rsidRPr="00F43B6C">
        <w:lastRenderedPageBreak/>
        <w:t xml:space="preserve">DeFilippo LB, </w:t>
      </w:r>
      <w:proofErr w:type="spellStart"/>
      <w:r w:rsidRPr="00F43B6C">
        <w:t>Buehrens</w:t>
      </w:r>
      <w:proofErr w:type="spellEnd"/>
      <w:r w:rsidRPr="00F43B6C">
        <w:t xml:space="preserve"> TW, </w:t>
      </w:r>
      <w:proofErr w:type="spellStart"/>
      <w:r w:rsidRPr="00F43B6C">
        <w:t>Scheuerell</w:t>
      </w:r>
      <w:proofErr w:type="spellEnd"/>
      <w:r w:rsidRPr="00F43B6C">
        <w:t xml:space="preserve"> M, Kendall NW, Schindler DE (2021) Improving short-term recruitment forecasts for coho salmon using a spatiotemporal integrated population model. Fisheries Research 242:106014.</w:t>
      </w:r>
    </w:p>
    <w:p w14:paraId="58466892" w14:textId="77777777" w:rsidR="00F43B6C" w:rsidRPr="00F43B6C" w:rsidRDefault="00F43B6C" w:rsidP="00F43B6C">
      <w:pPr>
        <w:pStyle w:val="Bibliography"/>
      </w:pPr>
      <w:r w:rsidRPr="00F43B6C">
        <w:t xml:space="preserve">Farley E, </w:t>
      </w:r>
      <w:proofErr w:type="spellStart"/>
      <w:r w:rsidRPr="00F43B6C">
        <w:t>Yasumiishi</w:t>
      </w:r>
      <w:proofErr w:type="spellEnd"/>
      <w:r w:rsidRPr="00F43B6C">
        <w:t xml:space="preserve"> E, Murphy J, Strasburger W, Sewall F, Howard K, Garcia S, Moss J (2024) Critical periods in the marine life history of juvenile western Alaska chum salmon in a changing climate. Mar </w:t>
      </w:r>
      <w:proofErr w:type="spellStart"/>
      <w:r w:rsidRPr="00F43B6C">
        <w:t>Ecol</w:t>
      </w:r>
      <w:proofErr w:type="spellEnd"/>
      <w:r w:rsidRPr="00F43B6C">
        <w:t xml:space="preserve"> Prog Ser 726:149–160.</w:t>
      </w:r>
    </w:p>
    <w:p w14:paraId="20268AAC" w14:textId="77777777" w:rsidR="00F43B6C" w:rsidRPr="00F43B6C" w:rsidRDefault="00F43B6C" w:rsidP="00F43B6C">
      <w:pPr>
        <w:pStyle w:val="Bibliography"/>
      </w:pPr>
      <w:r w:rsidRPr="00F43B6C">
        <w:t>Farley EV, Moss JH (2009) Growth Rate Potential of Juvenile Chum Salmon on the Eastern Bering Sea Shelf: an Assessment of Salmon Carrying Capacity.</w:t>
      </w:r>
    </w:p>
    <w:p w14:paraId="01A2B5F7" w14:textId="77777777" w:rsidR="00F43B6C" w:rsidRPr="00F43B6C" w:rsidRDefault="00F43B6C" w:rsidP="00F43B6C">
      <w:pPr>
        <w:pStyle w:val="Bibliography"/>
      </w:pPr>
      <w:proofErr w:type="spellStart"/>
      <w:r w:rsidRPr="00F43B6C">
        <w:t>Feddern</w:t>
      </w:r>
      <w:proofErr w:type="spellEnd"/>
      <w:r w:rsidRPr="00F43B6C">
        <w:t xml:space="preserve"> ML, </w:t>
      </w:r>
      <w:proofErr w:type="spellStart"/>
      <w:r w:rsidRPr="00F43B6C">
        <w:t>Shaftel</w:t>
      </w:r>
      <w:proofErr w:type="spellEnd"/>
      <w:r w:rsidRPr="00F43B6C">
        <w:t xml:space="preserve"> R, Schoen ER, Cunningham CJ, Connors BM, Staton BA, Von Finster A, </w:t>
      </w:r>
      <w:proofErr w:type="spellStart"/>
      <w:r w:rsidRPr="00F43B6C">
        <w:t>Liller</w:t>
      </w:r>
      <w:proofErr w:type="spellEnd"/>
      <w:r w:rsidRPr="00F43B6C">
        <w:t xml:space="preserve"> Z, Von Biela VR, Howard KG (2024) Body size and early marine conditions drive changes in Chinook salmon productivity across northern latitude ecosystems. Global Change Biology 30:e17508.</w:t>
      </w:r>
    </w:p>
    <w:p w14:paraId="5A2B7129" w14:textId="77777777" w:rsidR="00F43B6C" w:rsidRPr="00F43B6C" w:rsidRDefault="00F43B6C" w:rsidP="00F43B6C">
      <w:pPr>
        <w:pStyle w:val="Bibliography"/>
      </w:pPr>
      <w:r w:rsidRPr="00F43B6C">
        <w:t>Fleischman SJ, Borba BM (2009) Escapement estimation, spawner-recruit analysis, and escapement goal recommendation for fall chum salmon in the Yukon River drainage. Alaska Department of Fish and Game, Fishery Manuscript Series 09–08.</w:t>
      </w:r>
    </w:p>
    <w:p w14:paraId="4FA12715" w14:textId="77777777" w:rsidR="00F43B6C" w:rsidRPr="00F43B6C" w:rsidRDefault="00F43B6C" w:rsidP="00F43B6C">
      <w:pPr>
        <w:pStyle w:val="Bibliography"/>
      </w:pPr>
      <w:proofErr w:type="spellStart"/>
      <w:r w:rsidRPr="00F43B6C">
        <w:t>Gilk</w:t>
      </w:r>
      <w:proofErr w:type="spellEnd"/>
      <w:r w:rsidRPr="00F43B6C">
        <w:t xml:space="preserve"> SE, Molyneaux DB, </w:t>
      </w:r>
      <w:proofErr w:type="spellStart"/>
      <w:r w:rsidRPr="00F43B6C">
        <w:t>Hamazaki</w:t>
      </w:r>
      <w:proofErr w:type="spellEnd"/>
      <w:r w:rsidRPr="00F43B6C">
        <w:t xml:space="preserve"> T, </w:t>
      </w:r>
      <w:proofErr w:type="spellStart"/>
      <w:r w:rsidRPr="00F43B6C">
        <w:t>Pawluk</w:t>
      </w:r>
      <w:proofErr w:type="spellEnd"/>
      <w:r w:rsidRPr="00F43B6C">
        <w:t xml:space="preserve"> JA, Templin WD (2009) Biological and Genetic Characteristics of Fall and Summer Chum Salmon in the Kuskokwim River, Alaska. 70:161–179.</w:t>
      </w:r>
    </w:p>
    <w:p w14:paraId="7465393A" w14:textId="77777777" w:rsidR="00F43B6C" w:rsidRPr="00F43B6C" w:rsidRDefault="00F43B6C" w:rsidP="00F43B6C">
      <w:pPr>
        <w:pStyle w:val="Bibliography"/>
      </w:pPr>
      <w:r w:rsidRPr="00F43B6C">
        <w:t xml:space="preserve">Hollowed AB, </w:t>
      </w:r>
      <w:proofErr w:type="spellStart"/>
      <w:r w:rsidRPr="00F43B6C">
        <w:t>Barbeaux</w:t>
      </w:r>
      <w:proofErr w:type="spellEnd"/>
      <w:r w:rsidRPr="00F43B6C">
        <w:t xml:space="preserve"> SJ, </w:t>
      </w:r>
      <w:proofErr w:type="spellStart"/>
      <w:r w:rsidRPr="00F43B6C">
        <w:t>Cokelet</w:t>
      </w:r>
      <w:proofErr w:type="spellEnd"/>
      <w:r w:rsidRPr="00F43B6C">
        <w:t xml:space="preserve"> ED, Farley E, </w:t>
      </w:r>
      <w:proofErr w:type="spellStart"/>
      <w:r w:rsidRPr="00F43B6C">
        <w:t>Kotwicki</w:t>
      </w:r>
      <w:proofErr w:type="spellEnd"/>
      <w:r w:rsidRPr="00F43B6C">
        <w:t xml:space="preserve"> S, Ressler PH, Spital C, Wilson CD (2012) Effects of climate variations on pelagic ocean habitats and their role in structuring forage fish distributions in the Bering Sea. Deep Sea Research Part II: Topical Studies in Oceanography 65–70:230–250.</w:t>
      </w:r>
    </w:p>
    <w:p w14:paraId="6A5155C9" w14:textId="77777777" w:rsidR="00F43B6C" w:rsidRPr="00F43B6C" w:rsidRDefault="00F43B6C" w:rsidP="00F43B6C">
      <w:pPr>
        <w:pStyle w:val="Bibliography"/>
      </w:pPr>
      <w:r w:rsidRPr="00F43B6C">
        <w:t xml:space="preserve">Holmes EE, Ward EJ, </w:t>
      </w:r>
      <w:proofErr w:type="spellStart"/>
      <w:r w:rsidRPr="00F43B6C">
        <w:t>Scheuerell</w:t>
      </w:r>
      <w:proofErr w:type="spellEnd"/>
      <w:r w:rsidRPr="00F43B6C">
        <w:t xml:space="preserve"> MD, Wills K (2024) Holmes EE, Ward EJ, </w:t>
      </w:r>
      <w:proofErr w:type="spellStart"/>
      <w:r w:rsidRPr="00F43B6C">
        <w:t>Scheuerell</w:t>
      </w:r>
      <w:proofErr w:type="spellEnd"/>
      <w:r w:rsidRPr="00F43B6C">
        <w:t xml:space="preserve"> MD, Wills K (2024). MARSS: Multivariate Autoregressive State-Space Modeling.</w:t>
      </w:r>
    </w:p>
    <w:p w14:paraId="4D54F9A1" w14:textId="77777777" w:rsidR="00F43B6C" w:rsidRPr="00F43B6C" w:rsidRDefault="00F43B6C" w:rsidP="00F43B6C">
      <w:pPr>
        <w:pStyle w:val="Bibliography"/>
      </w:pPr>
      <w:r w:rsidRPr="00F43B6C">
        <w:t xml:space="preserve">Ianelli J, </w:t>
      </w:r>
      <w:proofErr w:type="spellStart"/>
      <w:r w:rsidRPr="00F43B6C">
        <w:t>Honkalehto</w:t>
      </w:r>
      <w:proofErr w:type="spellEnd"/>
      <w:r w:rsidRPr="00F43B6C">
        <w:t xml:space="preserve"> T, Wassermann S, </w:t>
      </w:r>
      <w:proofErr w:type="spellStart"/>
      <w:r w:rsidRPr="00F43B6C">
        <w:t>Lauffenburger</w:t>
      </w:r>
      <w:proofErr w:type="spellEnd"/>
      <w:r w:rsidRPr="00F43B6C">
        <w:t xml:space="preserve"> N, </w:t>
      </w:r>
      <w:proofErr w:type="spellStart"/>
      <w:r w:rsidRPr="00F43B6C">
        <w:t>McGilliard</w:t>
      </w:r>
      <w:proofErr w:type="spellEnd"/>
      <w:r w:rsidRPr="00F43B6C">
        <w:t xml:space="preserve"> C, Siddon E (2023) Stock assessment for eastern Bering Sea walleye pollock. North Pacific Fishery Management Council, Anchorage, AK.</w:t>
      </w:r>
    </w:p>
    <w:p w14:paraId="4FF967C2" w14:textId="77777777" w:rsidR="00F43B6C" w:rsidRPr="00F43B6C" w:rsidRDefault="00F43B6C" w:rsidP="00F43B6C">
      <w:pPr>
        <w:pStyle w:val="Bibliography"/>
      </w:pPr>
      <w:r w:rsidRPr="00F43B6C">
        <w:t xml:space="preserve">Iino Y, Kitagawa T, Abe TK, </w:t>
      </w:r>
      <w:proofErr w:type="spellStart"/>
      <w:r w:rsidRPr="00F43B6C">
        <w:t>Nagasaka</w:t>
      </w:r>
      <w:proofErr w:type="spellEnd"/>
      <w:r w:rsidRPr="00F43B6C">
        <w:t xml:space="preserve"> T, Shimizu Y, Ota K, Kawashima T, Kawamura T (2022) Effect of food amount and temperature on growth rate and aerobic scope of juvenile chum salmon. Fish Sci 88:397–409.</w:t>
      </w:r>
    </w:p>
    <w:p w14:paraId="2E0E6840" w14:textId="77777777" w:rsidR="00F43B6C" w:rsidRPr="00F43B6C" w:rsidRDefault="00F43B6C" w:rsidP="00F43B6C">
      <w:pPr>
        <w:pStyle w:val="Bibliography"/>
      </w:pPr>
      <w:r w:rsidRPr="00F43B6C">
        <w:t xml:space="preserve">Kaga T, Sato S, </w:t>
      </w:r>
      <w:proofErr w:type="spellStart"/>
      <w:r w:rsidRPr="00F43B6C">
        <w:t>Azumaya</w:t>
      </w:r>
      <w:proofErr w:type="spellEnd"/>
      <w:r w:rsidRPr="00F43B6C">
        <w:t xml:space="preserve"> T, Davis N, </w:t>
      </w:r>
      <w:proofErr w:type="spellStart"/>
      <w:r w:rsidRPr="00F43B6C">
        <w:t>Fukuwaka</w:t>
      </w:r>
      <w:proofErr w:type="spellEnd"/>
      <w:r w:rsidRPr="00F43B6C">
        <w:t xml:space="preserve"> M (2013) Lipid content of chum salmon Oncorhynchus keta affected by pink salmon O. </w:t>
      </w:r>
      <w:proofErr w:type="spellStart"/>
      <w:r w:rsidRPr="00F43B6C">
        <w:t>gorbuscha</w:t>
      </w:r>
      <w:proofErr w:type="spellEnd"/>
      <w:r w:rsidRPr="00F43B6C">
        <w:t xml:space="preserve"> abundance in the central Bering Sea. Mar </w:t>
      </w:r>
      <w:proofErr w:type="spellStart"/>
      <w:r w:rsidRPr="00F43B6C">
        <w:t>Ecol</w:t>
      </w:r>
      <w:proofErr w:type="spellEnd"/>
      <w:r w:rsidRPr="00F43B6C">
        <w:t xml:space="preserve"> Prog Ser 478:211–221.</w:t>
      </w:r>
    </w:p>
    <w:p w14:paraId="79C232DE" w14:textId="77777777" w:rsidR="00F43B6C" w:rsidRPr="00F43B6C" w:rsidRDefault="00F43B6C" w:rsidP="00F43B6C">
      <w:pPr>
        <w:pStyle w:val="Bibliography"/>
      </w:pPr>
      <w:proofErr w:type="spellStart"/>
      <w:r w:rsidRPr="00F43B6C">
        <w:t>Kallioinen</w:t>
      </w:r>
      <w:proofErr w:type="spellEnd"/>
      <w:r w:rsidRPr="00F43B6C">
        <w:t xml:space="preserve"> N, Paananen T, </w:t>
      </w:r>
      <w:proofErr w:type="spellStart"/>
      <w:r w:rsidRPr="00F43B6C">
        <w:t>Bürkner</w:t>
      </w:r>
      <w:proofErr w:type="spellEnd"/>
      <w:r w:rsidRPr="00F43B6C">
        <w:t xml:space="preserve"> P, </w:t>
      </w:r>
      <w:proofErr w:type="spellStart"/>
      <w:r w:rsidRPr="00F43B6C">
        <w:t>Vehtari</w:t>
      </w:r>
      <w:proofErr w:type="spellEnd"/>
      <w:r w:rsidRPr="00F43B6C">
        <w:t xml:space="preserve"> A (2023) Detecting and diagnosing prior and likelihood sensitivity with power-scaling. Statistics and Computing 34.</w:t>
      </w:r>
    </w:p>
    <w:p w14:paraId="2A2663C3" w14:textId="77777777" w:rsidR="00F43B6C" w:rsidRPr="00F43B6C" w:rsidRDefault="00F43B6C" w:rsidP="00F43B6C">
      <w:pPr>
        <w:pStyle w:val="Bibliography"/>
      </w:pPr>
      <w:r w:rsidRPr="00F43B6C">
        <w:t>Miller KB, Weiss CM (2023) Disentangling Population Level Differences in Juvenile Migration Phenology for Three Species of Salmon on the Yukon River. JMSE 11:589.</w:t>
      </w:r>
    </w:p>
    <w:p w14:paraId="1DCE0616" w14:textId="77777777" w:rsidR="00F43B6C" w:rsidRPr="00F43B6C" w:rsidRDefault="00F43B6C" w:rsidP="00F43B6C">
      <w:pPr>
        <w:pStyle w:val="Bibliography"/>
      </w:pPr>
      <w:r w:rsidRPr="00F43B6C">
        <w:t>Moss JH, Murphy JM, Farley EV, Eisner LB, Andrews AG (2009) Juvenile Pink and Chum Salmon Distribution, Diet, and Growth in the Northern Bering and Chukchi Seas. North Pacific Anadromous Fish Commission.</w:t>
      </w:r>
    </w:p>
    <w:p w14:paraId="03CC3018" w14:textId="77777777" w:rsidR="00F43B6C" w:rsidRPr="00F43B6C" w:rsidRDefault="00F43B6C" w:rsidP="00F43B6C">
      <w:pPr>
        <w:pStyle w:val="Bibliography"/>
      </w:pPr>
      <w:proofErr w:type="spellStart"/>
      <w:r w:rsidRPr="00F43B6C">
        <w:t>Moussalli</w:t>
      </w:r>
      <w:proofErr w:type="spellEnd"/>
      <w:r w:rsidRPr="00F43B6C">
        <w:t xml:space="preserve"> E, Hilborn R (1986) Optimal Stock Size and Harvest Rate in Multistage Life History Models. Can J Fish </w:t>
      </w:r>
      <w:proofErr w:type="spellStart"/>
      <w:r w:rsidRPr="00F43B6C">
        <w:t>Aquat</w:t>
      </w:r>
      <w:proofErr w:type="spellEnd"/>
      <w:r w:rsidRPr="00F43B6C">
        <w:t xml:space="preserve"> Sci 43:135–141.</w:t>
      </w:r>
    </w:p>
    <w:p w14:paraId="4B5DC1BD" w14:textId="77777777" w:rsidR="00F43B6C" w:rsidRPr="00F43B6C" w:rsidRDefault="00F43B6C" w:rsidP="00F43B6C">
      <w:pPr>
        <w:pStyle w:val="Bibliography"/>
      </w:pPr>
      <w:r w:rsidRPr="00F43B6C">
        <w:t xml:space="preserve">Murphy J, Dimond A, Cooper D, Garcia S, Lee L, Clark J, Pinchuk A, Reedy T, Miller K, Howard K, Ferguson J, Strasburger W, </w:t>
      </w:r>
      <w:proofErr w:type="spellStart"/>
      <w:r w:rsidRPr="00F43B6C">
        <w:t>Labunski</w:t>
      </w:r>
      <w:proofErr w:type="spellEnd"/>
      <w:r w:rsidRPr="00F43B6C">
        <w:t xml:space="preserve"> E, Farley E (2021) Northern Bering Sea ecosystem and surface trawl cruise </w:t>
      </w:r>
      <w:proofErr w:type="gramStart"/>
      <w:r w:rsidRPr="00F43B6C">
        <w:t>report,.</w:t>
      </w:r>
      <w:proofErr w:type="gramEnd"/>
      <w:r w:rsidRPr="00F43B6C">
        <w:t xml:space="preserve"> US Department of Commerce; NOAA Tech. Memo.</w:t>
      </w:r>
    </w:p>
    <w:p w14:paraId="66DE5244" w14:textId="77777777" w:rsidR="00F43B6C" w:rsidRPr="00F43B6C" w:rsidRDefault="00F43B6C" w:rsidP="00F43B6C">
      <w:pPr>
        <w:pStyle w:val="Bibliography"/>
      </w:pPr>
      <w:r w:rsidRPr="00F43B6C">
        <w:lastRenderedPageBreak/>
        <w:t xml:space="preserve">Myers KW, Walker RV, Davis ND, Armstrong JL, </w:t>
      </w:r>
      <w:proofErr w:type="spellStart"/>
      <w:r w:rsidRPr="00F43B6C">
        <w:t>Kaeriyama</w:t>
      </w:r>
      <w:proofErr w:type="spellEnd"/>
      <w:r w:rsidRPr="00F43B6C">
        <w:t xml:space="preserve"> M (2009) High Seas Distribution, Biology, and Ecology of Arctic-Yukon-Kuskokwim Salmon: Direct Information from High Seas Tagging Experiments, 1954–2006. American Fisheries Society Symposium 70:201–239.</w:t>
      </w:r>
    </w:p>
    <w:p w14:paraId="7A06D60A" w14:textId="77777777" w:rsidR="00F43B6C" w:rsidRPr="00F43B6C" w:rsidRDefault="00F43B6C" w:rsidP="00F43B6C">
      <w:pPr>
        <w:pStyle w:val="Bibliography"/>
      </w:pPr>
      <w:proofErr w:type="spellStart"/>
      <w:r w:rsidRPr="00F43B6C">
        <w:t>Neuswanger</w:t>
      </w:r>
      <w:proofErr w:type="spellEnd"/>
      <w:r w:rsidRPr="00F43B6C">
        <w:t xml:space="preserve"> JR, </w:t>
      </w:r>
      <w:proofErr w:type="spellStart"/>
      <w:r w:rsidRPr="00F43B6C">
        <w:t>Wipfli</w:t>
      </w:r>
      <w:proofErr w:type="spellEnd"/>
      <w:r w:rsidRPr="00F43B6C">
        <w:t xml:space="preserve"> MS, Evenson MJ, Hughes NF, Rosenberger AE (2015) Low productivity of Chinook salmon strongly correlates with high summer stream discharge in two Alaskan rivers in the Yukon drainage. Can J Fish </w:t>
      </w:r>
      <w:proofErr w:type="spellStart"/>
      <w:r w:rsidRPr="00F43B6C">
        <w:t>Aquat</w:t>
      </w:r>
      <w:proofErr w:type="spellEnd"/>
      <w:r w:rsidRPr="00F43B6C">
        <w:t xml:space="preserve"> Sci 72:1125–1137.</w:t>
      </w:r>
    </w:p>
    <w:p w14:paraId="734E2794" w14:textId="77777777" w:rsidR="00F43B6C" w:rsidRPr="00F43B6C" w:rsidRDefault="00F43B6C" w:rsidP="00F43B6C">
      <w:pPr>
        <w:pStyle w:val="Bibliography"/>
      </w:pPr>
      <w:proofErr w:type="spellStart"/>
      <w:r w:rsidRPr="00F43B6C">
        <w:t>Ohlberger</w:t>
      </w:r>
      <w:proofErr w:type="spellEnd"/>
      <w:r w:rsidRPr="00F43B6C">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F43B6C">
        <w:t>Aquat</w:t>
      </w:r>
      <w:proofErr w:type="spellEnd"/>
      <w:r w:rsidRPr="00F43B6C">
        <w:t xml:space="preserve"> Sci 77:1292–1301.</w:t>
      </w:r>
    </w:p>
    <w:p w14:paraId="185152D4" w14:textId="77777777" w:rsidR="00F43B6C" w:rsidRPr="00F43B6C" w:rsidRDefault="00F43B6C" w:rsidP="00F43B6C">
      <w:pPr>
        <w:pStyle w:val="Bibliography"/>
      </w:pPr>
      <w:proofErr w:type="spellStart"/>
      <w:r w:rsidRPr="00F43B6C">
        <w:t>Oke</w:t>
      </w:r>
      <w:proofErr w:type="spellEnd"/>
      <w:r w:rsidRPr="00F43B6C">
        <w:t xml:space="preserve"> KB, Cunningham CJ, Westley P a. H, Baskett ML, Carlson SM, Clark J, Hendry AP, </w:t>
      </w:r>
      <w:proofErr w:type="spellStart"/>
      <w:r w:rsidRPr="00F43B6C">
        <w:t>Karatayev</w:t>
      </w:r>
      <w:proofErr w:type="spellEnd"/>
      <w:r w:rsidRPr="00F43B6C">
        <w:t xml:space="preserve"> VA, Kendall NW, </w:t>
      </w:r>
      <w:proofErr w:type="spellStart"/>
      <w:r w:rsidRPr="00F43B6C">
        <w:t>Kibele</w:t>
      </w:r>
      <w:proofErr w:type="spellEnd"/>
      <w:r w:rsidRPr="00F43B6C">
        <w:t xml:space="preserve"> J, </w:t>
      </w:r>
      <w:proofErr w:type="spellStart"/>
      <w:r w:rsidRPr="00F43B6C">
        <w:t>Kindsvater</w:t>
      </w:r>
      <w:proofErr w:type="spellEnd"/>
      <w:r w:rsidRPr="00F43B6C">
        <w:t xml:space="preserve"> HK, Kobayashi KM, Lewis B, Munch S, Reynolds JD, Vick GK, </w:t>
      </w:r>
      <w:proofErr w:type="spellStart"/>
      <w:r w:rsidRPr="00F43B6C">
        <w:t>Palkovacs</w:t>
      </w:r>
      <w:proofErr w:type="spellEnd"/>
      <w:r w:rsidRPr="00F43B6C">
        <w:t xml:space="preserve"> EP (2020) Recent declines in salmon body size impact ecosystems and fisheries. Nat Commun 11:4155.</w:t>
      </w:r>
    </w:p>
    <w:p w14:paraId="02E33E73" w14:textId="77777777" w:rsidR="00F43B6C" w:rsidRPr="00F43B6C" w:rsidRDefault="00F43B6C" w:rsidP="00F43B6C">
      <w:pPr>
        <w:pStyle w:val="Bibliography"/>
      </w:pPr>
      <w:r w:rsidRPr="00F43B6C">
        <w:t>Regehr EV, Hostetter NJ, Wilson RR, Rode KD, Martin MS, Converse SJ (2018) Integrated Population Modeling Provides the First Empirical Estimates of Vital Rates and Abundance for Polar Bears in the Chukchi Sea. Sci Rep 8:16780.</w:t>
      </w:r>
    </w:p>
    <w:p w14:paraId="62DF746D" w14:textId="77777777" w:rsidR="00F43B6C" w:rsidRPr="00F43B6C" w:rsidRDefault="00F43B6C" w:rsidP="00F43B6C">
      <w:pPr>
        <w:pStyle w:val="Bibliography"/>
      </w:pPr>
      <w:proofErr w:type="spellStart"/>
      <w:r w:rsidRPr="00F43B6C">
        <w:t>Ruggerone</w:t>
      </w:r>
      <w:proofErr w:type="spellEnd"/>
      <w:r w:rsidRPr="00F43B6C">
        <w:t xml:space="preserve"> GT, Zimmermann M, Myers KW, Nielsen JL, Rogers DE (2003) Competition between Asian pink salmon (Oncorhynchus </w:t>
      </w:r>
      <w:proofErr w:type="spellStart"/>
      <w:r w:rsidRPr="00F43B6C">
        <w:t>gorbuscha</w:t>
      </w:r>
      <w:proofErr w:type="spellEnd"/>
      <w:r w:rsidRPr="00F43B6C">
        <w:t>) and Alaskan sockeye salmon (O. nerka) in the North Pacific Ocean. Fisheries Oceanography 12:209–219.</w:t>
      </w:r>
    </w:p>
    <w:p w14:paraId="318271B6" w14:textId="77777777" w:rsidR="00F43B6C" w:rsidRPr="00F43B6C" w:rsidRDefault="00F43B6C" w:rsidP="00F43B6C">
      <w:pPr>
        <w:pStyle w:val="Bibliography"/>
      </w:pPr>
      <w:r w:rsidRPr="00F43B6C">
        <w:t xml:space="preserve">Schaub M, Abadi F (2011) Integrated population models: a novel analysis framework for deeper insights into population dynamics. J </w:t>
      </w:r>
      <w:proofErr w:type="spellStart"/>
      <w:r w:rsidRPr="00F43B6C">
        <w:t>Ornithol</w:t>
      </w:r>
      <w:proofErr w:type="spellEnd"/>
      <w:r w:rsidRPr="00F43B6C">
        <w:t xml:space="preserve"> 152:227–237.</w:t>
      </w:r>
    </w:p>
    <w:p w14:paraId="7451241D" w14:textId="77777777" w:rsidR="00F43B6C" w:rsidRPr="00F43B6C" w:rsidRDefault="00F43B6C" w:rsidP="00F43B6C">
      <w:pPr>
        <w:pStyle w:val="Bibliography"/>
      </w:pPr>
      <w:proofErr w:type="spellStart"/>
      <w:r w:rsidRPr="00F43B6C">
        <w:t>Scheuerell</w:t>
      </w:r>
      <w:proofErr w:type="spellEnd"/>
      <w:r w:rsidRPr="00F43B6C">
        <w:t xml:space="preserve"> M, Ruff C, Anderson J, Beamer E (2020) An integrated population model for estimating the relative effects of natural and anthropogenic factors on a threatened population of steelhead trout. Journal of Applied Ecology 58.</w:t>
      </w:r>
    </w:p>
    <w:p w14:paraId="67E353EF" w14:textId="77777777" w:rsidR="00F43B6C" w:rsidRPr="00F43B6C" w:rsidRDefault="00F43B6C" w:rsidP="00F43B6C">
      <w:pPr>
        <w:pStyle w:val="Bibliography"/>
      </w:pPr>
      <w:r w:rsidRPr="00F43B6C">
        <w:t xml:space="preserve">Stan Development Team (2024) </w:t>
      </w:r>
      <w:proofErr w:type="spellStart"/>
      <w:r w:rsidRPr="00F43B6C">
        <w:t>RStan</w:t>
      </w:r>
      <w:proofErr w:type="spellEnd"/>
      <w:r w:rsidRPr="00F43B6C">
        <w:t>: the R interface to Stan. R package version 2.26.24.</w:t>
      </w:r>
    </w:p>
    <w:p w14:paraId="1717EB24" w14:textId="77777777" w:rsidR="00F43B6C" w:rsidRPr="00F43B6C" w:rsidRDefault="00F43B6C" w:rsidP="00F43B6C">
      <w:pPr>
        <w:pStyle w:val="Bibliography"/>
      </w:pPr>
      <w:r w:rsidRPr="00F43B6C">
        <w:t xml:space="preserve">Thorson JT (2019) Guidance for decisions using the Vector Autoregressive </w:t>
      </w:r>
      <w:proofErr w:type="spellStart"/>
      <w:r w:rsidRPr="00F43B6C">
        <w:t>Spatio</w:t>
      </w:r>
      <w:proofErr w:type="spellEnd"/>
      <w:r w:rsidRPr="00F43B6C">
        <w:t>-Temporal (VAST) package in stock, ecosystem, habitat and climate assessments. Fisheries Research 210:143–161.</w:t>
      </w:r>
    </w:p>
    <w:p w14:paraId="657F9934" w14:textId="0FBEC395" w:rsidR="00A16908" w:rsidRPr="004802C8" w:rsidRDefault="00AC2C20">
      <w:r w:rsidRPr="004802C8">
        <w:fldChar w:fldCharType="end"/>
      </w:r>
    </w:p>
    <w:sectPr w:rsidR="00A16908" w:rsidRPr="004802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en.Rogers" w:date="2025-01-02T14:25:00Z" w:initials="L">
    <w:p w14:paraId="1D3B51D6" w14:textId="2A87C00B" w:rsidR="00B24208" w:rsidRDefault="00B24208">
      <w:pPr>
        <w:pStyle w:val="CommentText"/>
      </w:pPr>
      <w:r>
        <w:rPr>
          <w:rStyle w:val="CommentReference"/>
        </w:rPr>
        <w:annotationRef/>
      </w:r>
      <w:r>
        <w:t>Does this need a summation somewhere? Summing across the ages from different brood years returning in year y?</w:t>
      </w:r>
    </w:p>
  </w:comment>
  <w:comment w:id="2" w:author="genoa" w:date="2025-01-08T12:03:00Z" w:initials="MOU">
    <w:p w14:paraId="4165D790" w14:textId="77777777" w:rsidR="00885339" w:rsidRDefault="00885339" w:rsidP="00885339">
      <w:r>
        <w:rPr>
          <w:rStyle w:val="CommentReference"/>
        </w:rPr>
        <w:annotationRef/>
      </w:r>
      <w:r>
        <w:rPr>
          <w:color w:val="000000"/>
          <w:sz w:val="20"/>
          <w:szCs w:val="20"/>
        </w:rPr>
        <w:t>No, I track them by ages until Eq 4.11, then I sum.</w:t>
      </w:r>
    </w:p>
  </w:comment>
  <w:comment w:id="3" w:author="Lauren.Rogers" w:date="2025-01-02T14:27:00Z" w:initials="L">
    <w:p w14:paraId="34DF34BF" w14:textId="7584F162" w:rsidR="00B24208" w:rsidRDefault="00B24208">
      <w:pPr>
        <w:pStyle w:val="CommentText"/>
      </w:pPr>
      <w:r>
        <w:rPr>
          <w:rStyle w:val="CommentReference"/>
        </w:rPr>
        <w:annotationRef/>
      </w:r>
      <w:r>
        <w:t>Is this a decent assumption? Or are fishing returning younger in recent years as in many other systems?</w:t>
      </w:r>
    </w:p>
  </w:comment>
  <w:comment w:id="4" w:author="Lauren.Rogers" w:date="2025-01-02T14:59:00Z" w:initials="L">
    <w:p w14:paraId="358616B1" w14:textId="2EB42C18" w:rsidR="0005752E" w:rsidRDefault="0005752E">
      <w:pPr>
        <w:pStyle w:val="CommentText"/>
      </w:pPr>
      <w:r>
        <w:rPr>
          <w:rStyle w:val="CommentReference"/>
        </w:rPr>
        <w:annotationRef/>
      </w:r>
      <w:r>
        <w:t xml:space="preserve">I’m still trying to wrap my head around how including this step in the model affects things. My thinking is that it doesn’t really matter how fishing is parameterized because you have data on total returns (estimated from the population reconstruction) which is used to estimate marine survival, and you have data on spawner abundance, which is used to estimate eggs </w:t>
      </w:r>
      <w:r>
        <w:sym w:font="Wingdings" w:char="F0E0"/>
      </w:r>
      <w:r>
        <w:t xml:space="preserve"> juvenile survival. You don’t really draw any inferences about harvest rates or changes in them, so this is just a sort of record keeping stage, right?</w:t>
      </w:r>
    </w:p>
  </w:comment>
  <w:comment w:id="5" w:author="genoa" w:date="2025-01-08T12:48:00Z" w:initials="MOU">
    <w:p w14:paraId="026AAC0D" w14:textId="77777777" w:rsidR="00DE0436" w:rsidRDefault="00DE0436" w:rsidP="00DE0436">
      <w:r>
        <w:rPr>
          <w:rStyle w:val="CommentReference"/>
        </w:rPr>
        <w:annotationRef/>
      </w:r>
      <w:r>
        <w:rPr>
          <w:color w:val="000000"/>
          <w:sz w:val="20"/>
          <w:szCs w:val="20"/>
        </w:rPr>
        <w:t xml:space="preserve">Pretty much yes! Harvest has been basically 0 since 2019, but most of the harvest info is considered “known” so I am not considering it a central point of inference… </w:t>
      </w:r>
    </w:p>
  </w:comment>
  <w:comment w:id="6" w:author="Lauren.Rogers" w:date="2025-01-03T12:13:00Z" w:initials="L">
    <w:p w14:paraId="1A56EA52" w14:textId="6D471164" w:rsidR="004D3CDC" w:rsidRDefault="004D3CDC">
      <w:pPr>
        <w:pStyle w:val="CommentText"/>
      </w:pPr>
      <w:r>
        <w:rPr>
          <w:rStyle w:val="CommentReference"/>
        </w:rPr>
        <w:annotationRef/>
      </w:r>
      <w:r>
        <w:t>I don’t completely understand how you do this, but I think that is my lack of expertise in this method rather than your explanation. Does this mean you fit your model to the total Returns in year Y, and to the age comp in year Y? Rather than fitting to the abundance of each brood year returning in year Y separately?</w:t>
      </w:r>
    </w:p>
  </w:comment>
  <w:comment w:id="7" w:author="genoa" w:date="2025-01-08T12:48:00Z" w:initials="MOU">
    <w:p w14:paraId="3F5E7E4D" w14:textId="77777777" w:rsidR="00DE0436" w:rsidRDefault="00DE0436" w:rsidP="00DE0436">
      <w:r>
        <w:rPr>
          <w:rStyle w:val="CommentReference"/>
        </w:rPr>
        <w:annotationRef/>
      </w:r>
      <w:r>
        <w:rPr>
          <w:color w:val="000000"/>
          <w:sz w:val="20"/>
          <w:szCs w:val="20"/>
        </w:rPr>
        <w:t xml:space="preserve">Yes - I am fitting the age comps by calendar year rather than brood year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3B51D6" w15:done="0"/>
  <w15:commentEx w15:paraId="4165D790" w15:paraIdParent="1D3B51D6" w15:done="0"/>
  <w15:commentEx w15:paraId="34DF34BF" w15:done="0"/>
  <w15:commentEx w15:paraId="358616B1" w15:done="0"/>
  <w15:commentEx w15:paraId="026AAC0D" w15:paraIdParent="358616B1" w15:done="0"/>
  <w15:commentEx w15:paraId="1A56EA52" w15:done="0"/>
  <w15:commentEx w15:paraId="3F5E7E4D" w15:paraIdParent="1A56EA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1DB115" w16cex:dateUtc="2025-01-08T20:03:00Z"/>
  <w16cex:commentExtensible w16cex:durableId="3CEC6A94" w16cex:dateUtc="2025-01-08T20:48:00Z"/>
  <w16cex:commentExtensible w16cex:durableId="12116AF0" w16cex:dateUtc="2025-01-08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3B51D6" w16cid:durableId="35927A3C"/>
  <w16cid:commentId w16cid:paraId="4165D790" w16cid:durableId="371DB115"/>
  <w16cid:commentId w16cid:paraId="34DF34BF" w16cid:durableId="342CF1A7"/>
  <w16cid:commentId w16cid:paraId="358616B1" w16cid:durableId="5FF6B3AA"/>
  <w16cid:commentId w16cid:paraId="026AAC0D" w16cid:durableId="3CEC6A94"/>
  <w16cid:commentId w16cid:paraId="1A56EA52" w16cid:durableId="1D667512"/>
  <w16cid:commentId w16cid:paraId="3F5E7E4D" w16cid:durableId="12116A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4"/>
  </w:num>
  <w:num w:numId="2" w16cid:durableId="2105219401">
    <w:abstractNumId w:val="0"/>
  </w:num>
  <w:num w:numId="3" w16cid:durableId="2138326831">
    <w:abstractNumId w:val="3"/>
  </w:num>
  <w:num w:numId="4" w16cid:durableId="2109500812">
    <w:abstractNumId w:val="1"/>
  </w:num>
  <w:num w:numId="5" w16cid:durableId="17633351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en.Rogers">
    <w15:presenceInfo w15:providerId="None" w15:userId="Lauren.Rogers"/>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70A9"/>
    <w:rsid w:val="00020CA6"/>
    <w:rsid w:val="00030642"/>
    <w:rsid w:val="000400A0"/>
    <w:rsid w:val="0005752E"/>
    <w:rsid w:val="000659EB"/>
    <w:rsid w:val="00066E44"/>
    <w:rsid w:val="00081562"/>
    <w:rsid w:val="00093146"/>
    <w:rsid w:val="000975C4"/>
    <w:rsid w:val="000B059D"/>
    <w:rsid w:val="000B5C5D"/>
    <w:rsid w:val="000D22DB"/>
    <w:rsid w:val="000D676B"/>
    <w:rsid w:val="000E2DB7"/>
    <w:rsid w:val="000F4830"/>
    <w:rsid w:val="000F6DEF"/>
    <w:rsid w:val="001310C7"/>
    <w:rsid w:val="00132EC8"/>
    <w:rsid w:val="0014771D"/>
    <w:rsid w:val="00170B26"/>
    <w:rsid w:val="00173C6B"/>
    <w:rsid w:val="00186EF6"/>
    <w:rsid w:val="001918E7"/>
    <w:rsid w:val="00195882"/>
    <w:rsid w:val="001A1252"/>
    <w:rsid w:val="001A20B5"/>
    <w:rsid w:val="001A3C64"/>
    <w:rsid w:val="001D2879"/>
    <w:rsid w:val="001D2C1A"/>
    <w:rsid w:val="001E791E"/>
    <w:rsid w:val="00213D47"/>
    <w:rsid w:val="00230037"/>
    <w:rsid w:val="002473E7"/>
    <w:rsid w:val="002566F2"/>
    <w:rsid w:val="00257ACD"/>
    <w:rsid w:val="002761EE"/>
    <w:rsid w:val="00286587"/>
    <w:rsid w:val="0029518D"/>
    <w:rsid w:val="00296632"/>
    <w:rsid w:val="002A359C"/>
    <w:rsid w:val="002B497A"/>
    <w:rsid w:val="002C3A62"/>
    <w:rsid w:val="002C4E3D"/>
    <w:rsid w:val="002C695A"/>
    <w:rsid w:val="002D085C"/>
    <w:rsid w:val="002D2452"/>
    <w:rsid w:val="002D7659"/>
    <w:rsid w:val="002E2AEE"/>
    <w:rsid w:val="002E5979"/>
    <w:rsid w:val="00313648"/>
    <w:rsid w:val="00316CF2"/>
    <w:rsid w:val="0032401E"/>
    <w:rsid w:val="00343398"/>
    <w:rsid w:val="00345AEA"/>
    <w:rsid w:val="00356E89"/>
    <w:rsid w:val="00361875"/>
    <w:rsid w:val="00362C50"/>
    <w:rsid w:val="0038279E"/>
    <w:rsid w:val="00382C08"/>
    <w:rsid w:val="00395A14"/>
    <w:rsid w:val="003A11BE"/>
    <w:rsid w:val="003B54AF"/>
    <w:rsid w:val="003B708B"/>
    <w:rsid w:val="003C26FA"/>
    <w:rsid w:val="003C426C"/>
    <w:rsid w:val="003C439E"/>
    <w:rsid w:val="003C5330"/>
    <w:rsid w:val="003D4E2E"/>
    <w:rsid w:val="003E55AE"/>
    <w:rsid w:val="003F1961"/>
    <w:rsid w:val="004111F4"/>
    <w:rsid w:val="00414F30"/>
    <w:rsid w:val="00421E2B"/>
    <w:rsid w:val="00430714"/>
    <w:rsid w:val="00434BB7"/>
    <w:rsid w:val="00443D23"/>
    <w:rsid w:val="004566AE"/>
    <w:rsid w:val="0046012A"/>
    <w:rsid w:val="004701F0"/>
    <w:rsid w:val="00472BBA"/>
    <w:rsid w:val="00474E2B"/>
    <w:rsid w:val="004802C8"/>
    <w:rsid w:val="00486122"/>
    <w:rsid w:val="00495D79"/>
    <w:rsid w:val="004B0011"/>
    <w:rsid w:val="004D30D4"/>
    <w:rsid w:val="004D3CDC"/>
    <w:rsid w:val="004F0DE5"/>
    <w:rsid w:val="004F527E"/>
    <w:rsid w:val="00527EA6"/>
    <w:rsid w:val="00527F71"/>
    <w:rsid w:val="00544ABE"/>
    <w:rsid w:val="005506DF"/>
    <w:rsid w:val="005524AD"/>
    <w:rsid w:val="00552E6E"/>
    <w:rsid w:val="005577D9"/>
    <w:rsid w:val="005615E2"/>
    <w:rsid w:val="00563890"/>
    <w:rsid w:val="00567F94"/>
    <w:rsid w:val="00592CA8"/>
    <w:rsid w:val="00595317"/>
    <w:rsid w:val="005A4EBD"/>
    <w:rsid w:val="005B507B"/>
    <w:rsid w:val="005C5F75"/>
    <w:rsid w:val="005C76D6"/>
    <w:rsid w:val="005D30CC"/>
    <w:rsid w:val="00610203"/>
    <w:rsid w:val="0061027D"/>
    <w:rsid w:val="00611CE6"/>
    <w:rsid w:val="00611FE0"/>
    <w:rsid w:val="00616F3B"/>
    <w:rsid w:val="00617924"/>
    <w:rsid w:val="006223FC"/>
    <w:rsid w:val="0063453E"/>
    <w:rsid w:val="00685C0F"/>
    <w:rsid w:val="006B6AF1"/>
    <w:rsid w:val="006C0AE9"/>
    <w:rsid w:val="006D5A52"/>
    <w:rsid w:val="006E1DC1"/>
    <w:rsid w:val="006E673B"/>
    <w:rsid w:val="006E741F"/>
    <w:rsid w:val="0070147F"/>
    <w:rsid w:val="00702D2C"/>
    <w:rsid w:val="0070480A"/>
    <w:rsid w:val="00720B2A"/>
    <w:rsid w:val="0072113E"/>
    <w:rsid w:val="00722CB1"/>
    <w:rsid w:val="00756434"/>
    <w:rsid w:val="00765F20"/>
    <w:rsid w:val="00771106"/>
    <w:rsid w:val="00771BCC"/>
    <w:rsid w:val="007A5FD1"/>
    <w:rsid w:val="007B4332"/>
    <w:rsid w:val="007B5C82"/>
    <w:rsid w:val="007C0CB3"/>
    <w:rsid w:val="007C2881"/>
    <w:rsid w:val="007C2F23"/>
    <w:rsid w:val="00811DC9"/>
    <w:rsid w:val="00817395"/>
    <w:rsid w:val="008219BE"/>
    <w:rsid w:val="008341AE"/>
    <w:rsid w:val="008432BC"/>
    <w:rsid w:val="00855916"/>
    <w:rsid w:val="00885339"/>
    <w:rsid w:val="008B68D8"/>
    <w:rsid w:val="008D18D8"/>
    <w:rsid w:val="008D50E3"/>
    <w:rsid w:val="008E5BE2"/>
    <w:rsid w:val="00906669"/>
    <w:rsid w:val="00906AAA"/>
    <w:rsid w:val="009168D7"/>
    <w:rsid w:val="00916C0C"/>
    <w:rsid w:val="0092445E"/>
    <w:rsid w:val="00941D1E"/>
    <w:rsid w:val="0094469E"/>
    <w:rsid w:val="00952A2D"/>
    <w:rsid w:val="00957C4C"/>
    <w:rsid w:val="00960AC1"/>
    <w:rsid w:val="0096149F"/>
    <w:rsid w:val="00971C02"/>
    <w:rsid w:val="00975CB3"/>
    <w:rsid w:val="00990089"/>
    <w:rsid w:val="00997244"/>
    <w:rsid w:val="00997EF9"/>
    <w:rsid w:val="009A08FE"/>
    <w:rsid w:val="009A380A"/>
    <w:rsid w:val="009A440C"/>
    <w:rsid w:val="009B419E"/>
    <w:rsid w:val="009B4C20"/>
    <w:rsid w:val="009B4DE7"/>
    <w:rsid w:val="009C436A"/>
    <w:rsid w:val="009D19E4"/>
    <w:rsid w:val="009D6107"/>
    <w:rsid w:val="009D6753"/>
    <w:rsid w:val="009F5D64"/>
    <w:rsid w:val="00A04B2B"/>
    <w:rsid w:val="00A1278F"/>
    <w:rsid w:val="00A16908"/>
    <w:rsid w:val="00A427B2"/>
    <w:rsid w:val="00A4720E"/>
    <w:rsid w:val="00A52601"/>
    <w:rsid w:val="00A71B1B"/>
    <w:rsid w:val="00A76D65"/>
    <w:rsid w:val="00A84F11"/>
    <w:rsid w:val="00A90A94"/>
    <w:rsid w:val="00A96760"/>
    <w:rsid w:val="00A97CBC"/>
    <w:rsid w:val="00AC089D"/>
    <w:rsid w:val="00AC2C20"/>
    <w:rsid w:val="00AF3D67"/>
    <w:rsid w:val="00AF3F1B"/>
    <w:rsid w:val="00AF3F85"/>
    <w:rsid w:val="00AF63FE"/>
    <w:rsid w:val="00B01843"/>
    <w:rsid w:val="00B142F6"/>
    <w:rsid w:val="00B14CC9"/>
    <w:rsid w:val="00B179DE"/>
    <w:rsid w:val="00B24208"/>
    <w:rsid w:val="00B471E3"/>
    <w:rsid w:val="00B85F75"/>
    <w:rsid w:val="00B9454F"/>
    <w:rsid w:val="00BA4315"/>
    <w:rsid w:val="00BA4383"/>
    <w:rsid w:val="00BB0DBB"/>
    <w:rsid w:val="00BB3403"/>
    <w:rsid w:val="00BB6EC1"/>
    <w:rsid w:val="00BC3349"/>
    <w:rsid w:val="00BC5615"/>
    <w:rsid w:val="00BD4B09"/>
    <w:rsid w:val="00BD6F38"/>
    <w:rsid w:val="00C029E5"/>
    <w:rsid w:val="00C149D1"/>
    <w:rsid w:val="00C26929"/>
    <w:rsid w:val="00C43A4F"/>
    <w:rsid w:val="00C549B1"/>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D6B0C"/>
    <w:rsid w:val="00DE0436"/>
    <w:rsid w:val="00DE1838"/>
    <w:rsid w:val="00DE6633"/>
    <w:rsid w:val="00DF538F"/>
    <w:rsid w:val="00E4342D"/>
    <w:rsid w:val="00E4758E"/>
    <w:rsid w:val="00E53ECE"/>
    <w:rsid w:val="00E54B26"/>
    <w:rsid w:val="00E6218F"/>
    <w:rsid w:val="00E82157"/>
    <w:rsid w:val="00E83FFC"/>
    <w:rsid w:val="00E91BE7"/>
    <w:rsid w:val="00EB7052"/>
    <w:rsid w:val="00EC00FA"/>
    <w:rsid w:val="00EC4430"/>
    <w:rsid w:val="00EC7AE3"/>
    <w:rsid w:val="00EC7F15"/>
    <w:rsid w:val="00ED1C8F"/>
    <w:rsid w:val="00ED715D"/>
    <w:rsid w:val="00EF1AF3"/>
    <w:rsid w:val="00F4357D"/>
    <w:rsid w:val="00F43B6C"/>
    <w:rsid w:val="00F511E4"/>
    <w:rsid w:val="00F55916"/>
    <w:rsid w:val="00F668A4"/>
    <w:rsid w:val="00F74A1C"/>
    <w:rsid w:val="00F817E7"/>
    <w:rsid w:val="00F908AF"/>
    <w:rsid w:val="00FB32D7"/>
    <w:rsid w:val="00FB3475"/>
    <w:rsid w:val="00FB6D23"/>
    <w:rsid w:val="00FC4D68"/>
    <w:rsid w:val="00FD215A"/>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18991</Words>
  <Characters>108254</Characters>
  <Application>Microsoft Office Word</Application>
  <DocSecurity>0</DocSecurity>
  <Lines>902</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36</cp:revision>
  <dcterms:created xsi:type="dcterms:W3CDTF">2025-01-04T17:10:00Z</dcterms:created>
  <dcterms:modified xsi:type="dcterms:W3CDTF">2025-01-10T19:29:00Z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