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8FC1" w14:textId="48BC19A7" w:rsidR="00693F86" w:rsidRDefault="00542CEE">
      <w:pPr>
        <w:rPr>
          <w:noProof/>
        </w:rPr>
      </w:pPr>
      <w:r>
        <w:rPr>
          <w:noProof/>
        </w:rPr>
        <w:t xml:space="preserve">Evaluation </w:t>
      </w:r>
      <w:r w:rsidR="00C408E8">
        <w:rPr>
          <w:noProof/>
        </w:rPr>
        <w:t xml:space="preserve">of v3.1 stratifications </w:t>
      </w:r>
      <w:r>
        <w:rPr>
          <w:noProof/>
        </w:rPr>
        <w:t>with Benchmarking</w:t>
      </w:r>
    </w:p>
    <w:p w14:paraId="51304976" w14:textId="6D11B68A" w:rsidR="00693F86" w:rsidRDefault="00693F86">
      <w:pPr>
        <w:rPr>
          <w:noProof/>
        </w:rPr>
      </w:pPr>
      <w:r>
        <w:rPr>
          <w:noProof/>
        </w:rPr>
        <w:t>J.McDaniel (June – July 2022)</w:t>
      </w:r>
    </w:p>
    <w:p w14:paraId="044A7EB7" w14:textId="77777777" w:rsidR="00693F86" w:rsidRDefault="00693F86">
      <w:pPr>
        <w:rPr>
          <w:noProof/>
        </w:rPr>
      </w:pPr>
    </w:p>
    <w:p w14:paraId="0E611B69" w14:textId="5CEF800E" w:rsidR="00693F86" w:rsidRDefault="00693F86">
      <w:pPr>
        <w:rPr>
          <w:b/>
          <w:bCs/>
          <w:noProof/>
        </w:rPr>
      </w:pPr>
      <w:r>
        <w:rPr>
          <w:b/>
          <w:bCs/>
          <w:noProof/>
        </w:rPr>
        <w:t>Benchmarking</w:t>
      </w:r>
      <w:r w:rsidR="00222F23">
        <w:rPr>
          <w:b/>
          <w:bCs/>
          <w:noProof/>
        </w:rPr>
        <w:t xml:space="preserve"> Validation</w:t>
      </w:r>
      <w:r>
        <w:rPr>
          <w:b/>
          <w:bCs/>
          <w:noProof/>
        </w:rPr>
        <w:t xml:space="preserve"> </w:t>
      </w:r>
      <w:r w:rsidRPr="00693F86">
        <w:rPr>
          <w:b/>
          <w:bCs/>
          <w:noProof/>
        </w:rPr>
        <w:t>Process:</w:t>
      </w:r>
    </w:p>
    <w:p w14:paraId="6B1086C8" w14:textId="77777777" w:rsidR="00222F23" w:rsidRPr="00693F86" w:rsidRDefault="00222F23">
      <w:pPr>
        <w:rPr>
          <w:b/>
          <w:bCs/>
          <w:noProof/>
        </w:rPr>
      </w:pPr>
    </w:p>
    <w:p w14:paraId="2E8C88F8" w14:textId="77777777" w:rsidR="009D3867" w:rsidRPr="00542CEE" w:rsidRDefault="00222F23" w:rsidP="009D3867">
      <w:pPr>
        <w:rPr>
          <w:noProof/>
        </w:rPr>
      </w:pPr>
      <w:r>
        <w:rPr>
          <w:noProof/>
        </w:rPr>
        <w:t xml:space="preserve">The defrabb </w:t>
      </w:r>
      <w:r>
        <w:rPr>
          <w:noProof/>
        </w:rPr>
        <w:t xml:space="preserve">v0.008 </w:t>
      </w:r>
      <w:r>
        <w:rPr>
          <w:noProof/>
        </w:rPr>
        <w:t xml:space="preserve">pipeline was used to generated draft benchmark from </w:t>
      </w:r>
      <w:r w:rsidRPr="00542CEE">
        <w:rPr>
          <w:noProof/>
        </w:rPr>
        <w:t xml:space="preserve">HG2-HPRC-curr.20211005 </w:t>
      </w:r>
      <w:r>
        <w:rPr>
          <w:noProof/>
        </w:rPr>
        <w:t xml:space="preserve">and perform benchmarking. </w:t>
      </w:r>
      <w:r w:rsidR="009D3867">
        <w:rPr>
          <w:noProof/>
        </w:rPr>
        <w:t xml:space="preserve"> </w:t>
      </w:r>
      <w:r w:rsidR="009D3867">
        <w:rPr>
          <w:noProof/>
        </w:rPr>
        <w:t xml:space="preserve">Since we did not have a benchmark for CHM13 we decided to prepare new draft benchmarks for all references from </w:t>
      </w:r>
      <w:r w:rsidR="009D3867" w:rsidRPr="00542CEE">
        <w:rPr>
          <w:noProof/>
        </w:rPr>
        <w:t xml:space="preserve">HG2-HPRC-curr.20211005 using the new </w:t>
      </w:r>
      <w:r w:rsidR="009D3867">
        <w:rPr>
          <w:noProof/>
        </w:rPr>
        <w:t xml:space="preserve">v3.1 </w:t>
      </w:r>
      <w:r w:rsidR="009D3867" w:rsidRPr="00542CEE">
        <w:rPr>
          <w:noProof/>
        </w:rPr>
        <w:t xml:space="preserve">stratifications as exclusions for ones that have been updated.  </w:t>
      </w:r>
    </w:p>
    <w:p w14:paraId="606F682F" w14:textId="77777777" w:rsidR="009D3867" w:rsidRPr="00EA66B9" w:rsidRDefault="009D3867" w:rsidP="009D3867">
      <w:pPr>
        <w:rPr>
          <w:rFonts w:ascii="Times New Roman" w:eastAsia="Times New Roman" w:hAnsi="Times New Roman" w:cs="Times New Roman"/>
        </w:rPr>
      </w:pPr>
      <w:r w:rsidRPr="00EA66B9">
        <w:rPr>
          <w:rFonts w:ascii="Courier New" w:eastAsia="Times New Roman" w:hAnsi="Courier New" w:cs="Courier New"/>
          <w:color w:val="000000"/>
          <w:sz w:val="20"/>
          <w:szCs w:val="20"/>
        </w:rPr>
        <w:t>AllTandemRepeatsandHomopolymers_slop5</w:t>
      </w:r>
    </w:p>
    <w:p w14:paraId="2CFCC7F7" w14:textId="77777777" w:rsidR="009D3867" w:rsidRPr="00EA66B9" w:rsidRDefault="009D3867" w:rsidP="009D3867">
      <w:pPr>
        <w:rPr>
          <w:rFonts w:ascii="Times New Roman" w:eastAsia="Times New Roman" w:hAnsi="Times New Roman" w:cs="Times New Roman"/>
        </w:rPr>
      </w:pPr>
      <w:proofErr w:type="spellStart"/>
      <w:r w:rsidRPr="00EA66B9">
        <w:rPr>
          <w:rFonts w:ascii="Courier New" w:eastAsia="Times New Roman" w:hAnsi="Courier New" w:cs="Courier New"/>
          <w:color w:val="000000"/>
          <w:sz w:val="20"/>
          <w:szCs w:val="20"/>
        </w:rPr>
        <w:t>segdups</w:t>
      </w:r>
      <w:proofErr w:type="spellEnd"/>
    </w:p>
    <w:p w14:paraId="78900FFD" w14:textId="77777777" w:rsidR="009D3867" w:rsidRPr="00EA66B9" w:rsidRDefault="009D3867" w:rsidP="009D3867">
      <w:pPr>
        <w:rPr>
          <w:rFonts w:ascii="Times New Roman" w:eastAsia="Times New Roman" w:hAnsi="Times New Roman" w:cs="Times New Roman"/>
        </w:rPr>
      </w:pPr>
      <w:r w:rsidRPr="00EA66B9">
        <w:rPr>
          <w:rFonts w:ascii="Courier New" w:eastAsia="Times New Roman" w:hAnsi="Courier New" w:cs="Courier New"/>
          <w:color w:val="000000"/>
          <w:sz w:val="20"/>
          <w:szCs w:val="20"/>
        </w:rPr>
        <w:t>AllTandemRepeats_gt10000bp_slop5</w:t>
      </w:r>
    </w:p>
    <w:p w14:paraId="49C26521" w14:textId="77777777" w:rsidR="009D3867" w:rsidRPr="00542CEE" w:rsidRDefault="009D3867" w:rsidP="009D3867">
      <w:pPr>
        <w:rPr>
          <w:rFonts w:ascii="Times New Roman" w:eastAsia="Times New Roman" w:hAnsi="Times New Roman" w:cs="Times New Roman"/>
        </w:rPr>
      </w:pPr>
      <w:proofErr w:type="spellStart"/>
      <w:r w:rsidRPr="00542CEE">
        <w:rPr>
          <w:rFonts w:ascii="Courier New" w:eastAsia="Times New Roman" w:hAnsi="Courier New" w:cs="Courier New"/>
          <w:color w:val="000000"/>
          <w:sz w:val="20"/>
          <w:szCs w:val="20"/>
        </w:rPr>
        <w:t>chainSelf</w:t>
      </w:r>
      <w:proofErr w:type="spellEnd"/>
    </w:p>
    <w:p w14:paraId="41AE8585" w14:textId="77777777" w:rsidR="009D3867" w:rsidRDefault="009D3867" w:rsidP="009D386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2CEE">
        <w:rPr>
          <w:rFonts w:ascii="Courier New" w:eastAsia="Times New Roman" w:hAnsi="Courier New" w:cs="Courier New"/>
          <w:color w:val="000000"/>
          <w:sz w:val="20"/>
          <w:szCs w:val="20"/>
        </w:rPr>
        <w:t>satellites</w:t>
      </w:r>
    </w:p>
    <w:p w14:paraId="5803B1B1" w14:textId="416BA343" w:rsidR="00222F23" w:rsidRPr="009D3867" w:rsidRDefault="009D3867" w:rsidP="00222F2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rDNA (CHM13 only)</w:t>
      </w:r>
    </w:p>
    <w:tbl>
      <w:tblPr>
        <w:tblStyle w:val="TableGrid"/>
        <w:tblpPr w:leftFromText="180" w:rightFromText="180" w:vertAnchor="text" w:horzAnchor="margin" w:tblpX="-185" w:tblpY="143"/>
        <w:tblW w:w="10252" w:type="dxa"/>
        <w:tblLook w:val="04A0" w:firstRow="1" w:lastRow="0" w:firstColumn="1" w:lastColumn="0" w:noHBand="0" w:noVBand="1"/>
      </w:tblPr>
      <w:tblGrid>
        <w:gridCol w:w="1165"/>
        <w:gridCol w:w="2389"/>
        <w:gridCol w:w="6698"/>
      </w:tblGrid>
      <w:tr w:rsidR="009D3867" w14:paraId="44A9A519" w14:textId="77777777" w:rsidTr="009D3867">
        <w:tc>
          <w:tcPr>
            <w:tcW w:w="1165" w:type="dxa"/>
            <w:vAlign w:val="center"/>
          </w:tcPr>
          <w:p w14:paraId="6FC80E9B" w14:textId="77777777" w:rsidR="00222F23" w:rsidRPr="009D3867" w:rsidRDefault="00222F23" w:rsidP="009D386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Alignment Reference</w:t>
            </w:r>
          </w:p>
        </w:tc>
        <w:tc>
          <w:tcPr>
            <w:tcW w:w="2520" w:type="dxa"/>
            <w:vAlign w:val="center"/>
          </w:tcPr>
          <w:p w14:paraId="68E54951" w14:textId="7B8A9DC3" w:rsidR="00222F23" w:rsidRPr="009D3867" w:rsidRDefault="00222F23" w:rsidP="009D386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defrabb</w:t>
            </w:r>
            <w:proofErr w:type="spellEnd"/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</w:t>
            </w:r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</w:t>
            </w:r>
            <w:r w:rsidR="009D3867"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br/>
            </w:r>
            <w:r w:rsidR="009D3867" w:rsidRPr="009D386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(on </w:t>
            </w:r>
            <w:proofErr w:type="spellStart"/>
            <w:r w:rsidR="009D3867" w:rsidRPr="009D386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BBD_Human_Genomics</w:t>
            </w:r>
            <w:proofErr w:type="spellEnd"/>
            <w:r w:rsidR="009D3867" w:rsidRPr="009D3867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 xml:space="preserve"> team Google Drive)</w:t>
            </w:r>
          </w:p>
        </w:tc>
        <w:tc>
          <w:tcPr>
            <w:tcW w:w="6567" w:type="dxa"/>
            <w:vAlign w:val="center"/>
          </w:tcPr>
          <w:p w14:paraId="3F3A8FC1" w14:textId="073100D9" w:rsidR="00222F23" w:rsidRPr="009D3867" w:rsidRDefault="00EC7A9D" w:rsidP="009D386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HiFi-DV query </w:t>
            </w:r>
            <w:proofErr w:type="spellStart"/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callsets</w:t>
            </w:r>
            <w:proofErr w:type="spellEnd"/>
            <w:r w:rsidRPr="009D386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for benchmarking with hap.py</w:t>
            </w:r>
          </w:p>
        </w:tc>
      </w:tr>
      <w:tr w:rsidR="009D3867" w14:paraId="144F891F" w14:textId="77777777" w:rsidTr="009D3867">
        <w:tc>
          <w:tcPr>
            <w:tcW w:w="1165" w:type="dxa"/>
          </w:tcPr>
          <w:p w14:paraId="3B2F7C96" w14:textId="77777777" w:rsidR="00222F23" w:rsidRPr="00EC7A9D" w:rsidRDefault="00222F23" w:rsidP="00EC7A9D">
            <w:pPr>
              <w:rPr>
                <w:noProof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GRCh37</w:t>
            </w:r>
          </w:p>
        </w:tc>
        <w:tc>
          <w:tcPr>
            <w:tcW w:w="2520" w:type="dxa"/>
          </w:tcPr>
          <w:p w14:paraId="27CB4B6E" w14:textId="17C68CEF" w:rsidR="00222F23" w:rsidRPr="00EC7A9D" w:rsidRDefault="00450774" w:rsidP="00EC7A9D">
            <w:pPr>
              <w:rPr>
                <w:noProof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20220705_v0.008_HG002-HPRC-GRCh37</w:t>
            </w:r>
          </w:p>
        </w:tc>
        <w:tc>
          <w:tcPr>
            <w:tcW w:w="6567" w:type="dxa"/>
          </w:tcPr>
          <w:p w14:paraId="3D1972A2" w14:textId="6FB84BD1" w:rsidR="00222F23" w:rsidRPr="00EC7A9D" w:rsidRDefault="00EC7A9D" w:rsidP="00EC7A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7A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deepvariant_HG002_GRCh37_15kb_20kb_52X_SequelII.vcf.gz</w:t>
            </w:r>
          </w:p>
        </w:tc>
      </w:tr>
      <w:tr w:rsidR="009D3867" w14:paraId="71801573" w14:textId="77777777" w:rsidTr="009D3867">
        <w:tc>
          <w:tcPr>
            <w:tcW w:w="1165" w:type="dxa"/>
          </w:tcPr>
          <w:p w14:paraId="4A4C1CB0" w14:textId="77777777" w:rsidR="00222F23" w:rsidRPr="00EC7A9D" w:rsidRDefault="00222F23" w:rsidP="00EC7A9D">
            <w:pPr>
              <w:rPr>
                <w:noProof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GRCh38</w:t>
            </w:r>
          </w:p>
        </w:tc>
        <w:tc>
          <w:tcPr>
            <w:tcW w:w="2520" w:type="dxa"/>
          </w:tcPr>
          <w:p w14:paraId="64F56F24" w14:textId="3184EA76" w:rsidR="00222F23" w:rsidRPr="00EC7A9D" w:rsidRDefault="00450774" w:rsidP="00EC7A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20220705_v0.008_HG002-HPRC-GRCh3</w:t>
            </w:r>
            <w:r w:rsidRPr="00EC7A9D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6567" w:type="dxa"/>
          </w:tcPr>
          <w:p w14:paraId="36B5A4CD" w14:textId="2B52E603" w:rsidR="00222F23" w:rsidRPr="00EC7A9D" w:rsidRDefault="00EC7A9D" w:rsidP="00EC7A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7A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deepvariant_HG002_GRCh38_15kb_20kb_53X_SequelII.vcf.gz</w:t>
            </w:r>
          </w:p>
        </w:tc>
      </w:tr>
      <w:tr w:rsidR="009D3867" w14:paraId="6646E5E0" w14:textId="77777777" w:rsidTr="009D3867">
        <w:tc>
          <w:tcPr>
            <w:tcW w:w="1165" w:type="dxa"/>
          </w:tcPr>
          <w:p w14:paraId="59C3D9D5" w14:textId="77777777" w:rsidR="00222F23" w:rsidRPr="00EC7A9D" w:rsidRDefault="00222F23" w:rsidP="00EC7A9D">
            <w:pPr>
              <w:rPr>
                <w:noProof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CHM13v2.0</w:t>
            </w:r>
          </w:p>
        </w:tc>
        <w:tc>
          <w:tcPr>
            <w:tcW w:w="2520" w:type="dxa"/>
          </w:tcPr>
          <w:p w14:paraId="4988A05D" w14:textId="326CC76F" w:rsidR="00222F23" w:rsidRPr="00EC7A9D" w:rsidRDefault="00450774" w:rsidP="00EC7A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7A9D">
              <w:rPr>
                <w:noProof/>
                <w:sz w:val="20"/>
                <w:szCs w:val="20"/>
              </w:rPr>
              <w:t>20220705_v0.008_HG002-HPRC-</w:t>
            </w:r>
            <w:r w:rsidRPr="00EC7A9D">
              <w:rPr>
                <w:noProof/>
                <w:sz w:val="20"/>
                <w:szCs w:val="20"/>
              </w:rPr>
              <w:t>CHM13v2.0</w:t>
            </w:r>
          </w:p>
        </w:tc>
        <w:tc>
          <w:tcPr>
            <w:tcW w:w="6567" w:type="dxa"/>
          </w:tcPr>
          <w:p w14:paraId="197CDD6A" w14:textId="2CC9F072" w:rsidR="00222F23" w:rsidRPr="00EC7A9D" w:rsidRDefault="00EC7A9D" w:rsidP="00EC7A9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7A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HG002.pacbio.chm13.vcf.gz (from </w:t>
            </w:r>
            <w:proofErr w:type="spellStart"/>
            <w:proofErr w:type="gramStart"/>
            <w:r w:rsidRPr="00EC7A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A.Carroll</w:t>
            </w:r>
            <w:proofErr w:type="spellEnd"/>
            <w:proofErr w:type="gramEnd"/>
            <w:r w:rsidRPr="00EC7A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6EE569AE" w14:textId="77777777" w:rsidR="00693F86" w:rsidRPr="00542CEE" w:rsidRDefault="00693F8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18B8F" w14:textId="2C3BE980" w:rsidR="00EA66B9" w:rsidRDefault="00693F86">
      <w:pPr>
        <w:rPr>
          <w:b/>
          <w:bCs/>
          <w:noProof/>
        </w:rPr>
      </w:pPr>
      <w:r w:rsidRPr="00693F86">
        <w:rPr>
          <w:b/>
          <w:bCs/>
          <w:noProof/>
        </w:rPr>
        <w:t>Evaluation:</w:t>
      </w:r>
    </w:p>
    <w:p w14:paraId="11799FDB" w14:textId="55E57271" w:rsidR="00693F86" w:rsidRDefault="00693F8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357">
        <w:rPr>
          <w:noProof/>
        </w:rPr>
        <w:t>Summary statistics</w:t>
      </w:r>
      <w:r w:rsidR="00512357">
        <w:rPr>
          <w:noProof/>
        </w:rPr>
        <w:t xml:space="preserve"> (</w:t>
      </w:r>
      <w:r w:rsidR="00512357" w:rsidRPr="00512357">
        <w:rPr>
          <w:rFonts w:ascii="Courier New" w:eastAsia="Times New Roman" w:hAnsi="Courier New" w:cs="Courier New"/>
          <w:color w:val="000000"/>
          <w:sz w:val="20"/>
          <w:szCs w:val="20"/>
        </w:rPr>
        <w:t>v3.1-strat-eval_benchmarking-summary-stats.csv</w:t>
      </w:r>
      <w:r w:rsidR="00512357" w:rsidRPr="00512357">
        <w:rPr>
          <w:noProof/>
        </w:rPr>
        <w:t xml:space="preserve">) </w:t>
      </w:r>
      <w:r w:rsidR="00512357">
        <w:rPr>
          <w:noProof/>
        </w:rPr>
        <w:t xml:space="preserve">from the hap.py extended.csvs </w:t>
      </w:r>
      <w:r w:rsidRPr="00512357">
        <w:rPr>
          <w:noProof/>
        </w:rPr>
        <w:t xml:space="preserve">for all references was generated </w:t>
      </w:r>
      <w:r w:rsidR="00512357" w:rsidRPr="00512357">
        <w:rPr>
          <w:noProof/>
        </w:rPr>
        <w:t>in R with</w:t>
      </w:r>
      <w:r w:rsidR="00512357">
        <w:rPr>
          <w:b/>
          <w:bCs/>
          <w:noProof/>
        </w:rPr>
        <w:t xml:space="preserve"> </w:t>
      </w:r>
      <w:r w:rsidR="00512357" w:rsidRPr="00512357">
        <w:rPr>
          <w:rFonts w:ascii="Courier New" w:eastAsia="Times New Roman" w:hAnsi="Courier New" w:cs="Courier New"/>
          <w:color w:val="000000"/>
          <w:sz w:val="20"/>
          <w:szCs w:val="20"/>
        </w:rPr>
        <w:t>v3.1_benchmarking_summary_metrics_for_all_stratification_</w:t>
      </w:r>
      <w:proofErr w:type="gramStart"/>
      <w:r w:rsidR="00512357" w:rsidRPr="00512357">
        <w:rPr>
          <w:rFonts w:ascii="Courier New" w:eastAsia="Times New Roman" w:hAnsi="Courier New" w:cs="Courier New"/>
          <w:color w:val="000000"/>
          <w:sz w:val="20"/>
          <w:szCs w:val="20"/>
        </w:rPr>
        <w:t>evaluation.R</w:t>
      </w:r>
      <w:proofErr w:type="gramEnd"/>
    </w:p>
    <w:p w14:paraId="5E643A3B" w14:textId="461AD9D3" w:rsidR="00512357" w:rsidRDefault="005123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35F2E" w14:textId="20DFEEFD" w:rsidR="00512357" w:rsidRDefault="005123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357">
        <w:rPr>
          <w:noProof/>
        </w:rPr>
        <w:t>Plots of summary metrics were generated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B94AFD" w14:textId="2D19BD39" w:rsidR="00512357" w:rsidRPr="00512357" w:rsidRDefault="00512357">
      <w:pPr>
        <w:rPr>
          <w:noProof/>
        </w:rPr>
      </w:pPr>
      <w:r w:rsidRPr="00FF5246">
        <w:rPr>
          <w:rFonts w:ascii="Courier New" w:eastAsia="Times New Roman" w:hAnsi="Courier New" w:cs="Courier New"/>
          <w:color w:val="000000"/>
          <w:sz w:val="20"/>
          <w:szCs w:val="20"/>
        </w:rPr>
        <w:t>metrics.html</w:t>
      </w:r>
      <w:r w:rsidRPr="00512357">
        <w:rPr>
          <w:noProof/>
        </w:rPr>
        <w:t xml:space="preserve"> </w:t>
      </w:r>
      <w:r w:rsidRPr="00512357">
        <w:rPr>
          <w:noProof/>
        </w:rPr>
        <w:sym w:font="Wingdings" w:char="F0E0"/>
      </w:r>
      <w:r w:rsidRPr="00512357">
        <w:rPr>
          <w:noProof/>
        </w:rPr>
        <w:t xml:space="preserve"> contains all summary metrics and stratificaitons JZ was interested in</w:t>
      </w:r>
    </w:p>
    <w:p w14:paraId="46BFE913" w14:textId="53F1FBA1" w:rsidR="00FF5246" w:rsidRPr="00FF5246" w:rsidRDefault="00FF5246" w:rsidP="00FF5246">
      <w:pPr>
        <w:rPr>
          <w:noProof/>
        </w:rPr>
      </w:pPr>
      <w:r w:rsidRPr="00FF5246">
        <w:rPr>
          <w:noProof/>
        </w:rPr>
        <w:t xml:space="preserve">note: log10 values for TP/.het/.homalt </w:t>
      </w:r>
      <w:r>
        <w:rPr>
          <w:noProof/>
        </w:rPr>
        <w:t>were plotted</w:t>
      </w:r>
    </w:p>
    <w:p w14:paraId="4F7CF1BF" w14:textId="054F303A" w:rsidR="00512357" w:rsidRDefault="00512357">
      <w:pPr>
        <w:rPr>
          <w:b/>
          <w:bCs/>
          <w:noProof/>
        </w:rPr>
      </w:pPr>
    </w:p>
    <w:p w14:paraId="49F9C14A" w14:textId="63507686" w:rsidR="00FF5246" w:rsidRPr="00693F86" w:rsidRDefault="00FF5246">
      <w:pPr>
        <w:rPr>
          <w:b/>
          <w:bCs/>
          <w:noProof/>
        </w:rPr>
      </w:pPr>
      <w:r>
        <w:rPr>
          <w:b/>
          <w:bCs/>
          <w:noProof/>
        </w:rPr>
        <w:t xml:space="preserve">Summary of Issues </w:t>
      </w:r>
      <w:r w:rsidR="00903D84">
        <w:rPr>
          <w:b/>
          <w:bCs/>
          <w:noProof/>
        </w:rPr>
        <w:t>and Resolutions</w:t>
      </w:r>
      <w:r>
        <w:rPr>
          <w:b/>
          <w:bCs/>
          <w:noProof/>
        </w:rPr>
        <w:t>:</w:t>
      </w:r>
    </w:p>
    <w:p w14:paraId="1278A64B" w14:textId="1CDD5138" w:rsidR="0087265A" w:rsidRDefault="0087265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24ECDB" wp14:editId="13C08D73">
            <wp:extent cx="5943600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887B6" wp14:editId="7D3058F5">
            <wp:extent cx="5943600" cy="221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9E86" w14:textId="476C1050" w:rsidR="0087265A" w:rsidRDefault="0087265A" w:rsidP="0087265A">
      <w:pPr>
        <w:tabs>
          <w:tab w:val="left" w:pos="8278"/>
        </w:tabs>
      </w:pPr>
      <w:r>
        <w:rPr>
          <w:noProof/>
        </w:rPr>
        <w:drawing>
          <wp:inline distT="0" distB="0" distL="0" distR="0" wp14:anchorId="0CE82450" wp14:editId="4A30A663">
            <wp:extent cx="5943600" cy="182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991" w14:textId="6CA2149B" w:rsidR="0087265A" w:rsidRDefault="0087265A" w:rsidP="0087265A">
      <w:pPr>
        <w:tabs>
          <w:tab w:val="left" w:pos="8278"/>
        </w:tabs>
      </w:pPr>
    </w:p>
    <w:p w14:paraId="20FD82B6" w14:textId="516A222C" w:rsidR="0087265A" w:rsidRDefault="0087265A" w:rsidP="0087265A">
      <w:pPr>
        <w:tabs>
          <w:tab w:val="left" w:pos="8278"/>
        </w:tabs>
      </w:pPr>
      <w:r>
        <w:t>Upon inspect</w:t>
      </w:r>
      <w:r w:rsidR="00665A2D">
        <w:t>ion</w:t>
      </w:r>
      <w:r>
        <w:t xml:space="preserve"> of benchmarking for validation if v3.1 stratifications using the following </w:t>
      </w:r>
      <w:proofErr w:type="spellStart"/>
      <w:r>
        <w:t>defrabb</w:t>
      </w:r>
      <w:proofErr w:type="spellEnd"/>
      <w:r>
        <w:t xml:space="preserve"> runs</w:t>
      </w:r>
    </w:p>
    <w:tbl>
      <w:tblPr>
        <w:tblW w:w="55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8"/>
      </w:tblGrid>
      <w:tr w:rsidR="0087265A" w:rsidRPr="0087265A" w14:paraId="4CBE2CA3" w14:textId="77777777" w:rsidTr="008726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038C1" w14:textId="77777777" w:rsidR="0087265A" w:rsidRPr="0087265A" w:rsidRDefault="0087265A" w:rsidP="0087265A">
            <w:pPr>
              <w:rPr>
                <w:rFonts w:ascii="Arial" w:eastAsia="Times New Roman" w:hAnsi="Arial" w:cs="Arial"/>
              </w:rPr>
            </w:pPr>
            <w:r w:rsidRPr="0087265A">
              <w:rPr>
                <w:rFonts w:ascii="Arial" w:eastAsia="Times New Roman" w:hAnsi="Arial" w:cs="Arial"/>
              </w:rPr>
              <w:t>20220610_v0.008_HG002-HPRC-GRCh38</w:t>
            </w:r>
          </w:p>
        </w:tc>
      </w:tr>
      <w:tr w:rsidR="0087265A" w:rsidRPr="0087265A" w14:paraId="713CD339" w14:textId="77777777" w:rsidTr="008726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D91D" w14:textId="77777777" w:rsidR="0087265A" w:rsidRPr="0087265A" w:rsidRDefault="0087265A" w:rsidP="0087265A">
            <w:pPr>
              <w:rPr>
                <w:rFonts w:ascii="Arial" w:eastAsia="Times New Roman" w:hAnsi="Arial" w:cs="Arial"/>
              </w:rPr>
            </w:pPr>
            <w:r w:rsidRPr="0087265A">
              <w:rPr>
                <w:rFonts w:ascii="Arial" w:eastAsia="Times New Roman" w:hAnsi="Arial" w:cs="Arial"/>
              </w:rPr>
              <w:t>20220616_v0.008_HG002-HPRC-CHM13v2.0</w:t>
            </w:r>
          </w:p>
        </w:tc>
      </w:tr>
      <w:tr w:rsidR="0087265A" w:rsidRPr="0087265A" w14:paraId="5E61537F" w14:textId="77777777" w:rsidTr="008726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0198F" w14:textId="77777777" w:rsidR="0087265A" w:rsidRPr="0087265A" w:rsidRDefault="0087265A" w:rsidP="0087265A">
            <w:pPr>
              <w:rPr>
                <w:rFonts w:ascii="Arial" w:eastAsia="Times New Roman" w:hAnsi="Arial" w:cs="Arial"/>
              </w:rPr>
            </w:pPr>
            <w:r w:rsidRPr="0087265A">
              <w:rPr>
                <w:rFonts w:ascii="Arial" w:eastAsia="Times New Roman" w:hAnsi="Arial" w:cs="Arial"/>
              </w:rPr>
              <w:t>20220616_v0.008_HG002-HPRC-GRCh37</w:t>
            </w:r>
          </w:p>
        </w:tc>
      </w:tr>
    </w:tbl>
    <w:p w14:paraId="49C76787" w14:textId="0FA7004B" w:rsidR="0087265A" w:rsidRPr="0087265A" w:rsidRDefault="0087265A" w:rsidP="0087265A">
      <w:pPr>
        <w:rPr>
          <w:b/>
          <w:bCs/>
        </w:rPr>
      </w:pPr>
      <w:r w:rsidRPr="0087265A">
        <w:rPr>
          <w:b/>
          <w:bCs/>
        </w:rPr>
        <w:t>Issue</w:t>
      </w:r>
      <w:r w:rsidR="009B1A32">
        <w:rPr>
          <w:b/>
          <w:bCs/>
        </w:rPr>
        <w:t xml:space="preserve"> #1</w:t>
      </w:r>
      <w:r w:rsidRPr="0087265A">
        <w:rPr>
          <w:b/>
          <w:bCs/>
        </w:rPr>
        <w:t>:</w:t>
      </w:r>
    </w:p>
    <w:p w14:paraId="469008E5" w14:textId="1138F97A" w:rsidR="0087265A" w:rsidRPr="0087265A" w:rsidRDefault="0087265A" w:rsidP="0087265A">
      <w:r>
        <w:t xml:space="preserve">It was found that GRCh37 PARX stratifications did not have any metrics.  In looking at the regions (above) JZ noted </w:t>
      </w:r>
      <w:r w:rsidRPr="0087265A">
        <w:t xml:space="preserve">For GRCh37, the PAR is incorrectly considered a </w:t>
      </w:r>
      <w:proofErr w:type="spellStart"/>
      <w:r w:rsidRPr="0087265A">
        <w:t>segdup</w:t>
      </w:r>
      <w:proofErr w:type="spellEnd"/>
      <w:r w:rsidRPr="0087265A">
        <w:t xml:space="preserve"> and a self-chain, probably because they didn't mask the Y PAR when creating these files. For GRCh38, this </w:t>
      </w:r>
      <w:r w:rsidRPr="0087265A">
        <w:lastRenderedPageBreak/>
        <w:t xml:space="preserve">is fixed for </w:t>
      </w:r>
      <w:proofErr w:type="spellStart"/>
      <w:r w:rsidRPr="0087265A">
        <w:t>segdups</w:t>
      </w:r>
      <w:proofErr w:type="spellEnd"/>
      <w:r w:rsidRPr="0087265A">
        <w:t xml:space="preserve">, but not for the self-chain, though the self-chain only covers the first ~2Mbp of the PAR. Because we exclude </w:t>
      </w:r>
      <w:proofErr w:type="spellStart"/>
      <w:r w:rsidRPr="0087265A">
        <w:t>self chains</w:t>
      </w:r>
      <w:proofErr w:type="spellEnd"/>
      <w:r w:rsidRPr="0087265A">
        <w:t xml:space="preserve"> and </w:t>
      </w:r>
      <w:proofErr w:type="spellStart"/>
      <w:r w:rsidRPr="0087265A">
        <w:t>segdups</w:t>
      </w:r>
      <w:proofErr w:type="spellEnd"/>
      <w:r w:rsidRPr="0087265A">
        <w:t xml:space="preserve"> that have any breaks in the </w:t>
      </w:r>
      <w:proofErr w:type="spellStart"/>
      <w:r w:rsidRPr="0087265A">
        <w:t>dip.bed</w:t>
      </w:r>
      <w:proofErr w:type="spellEnd"/>
      <w:r w:rsidRPr="0087265A">
        <w:t xml:space="preserve"> inside them or within 15kb of them, the entire PAR gets excluded for 37 and the first 2Mbp gets excluded for 38. </w:t>
      </w:r>
    </w:p>
    <w:p w14:paraId="5F8A5B11" w14:textId="4EE6A383" w:rsidR="0087265A" w:rsidRPr="0087265A" w:rsidRDefault="00665A2D" w:rsidP="0087265A">
      <w:pPr>
        <w:rPr>
          <w:b/>
          <w:bCs/>
        </w:rPr>
      </w:pPr>
      <w:r>
        <w:rPr>
          <w:b/>
          <w:bCs/>
        </w:rPr>
        <w:t>Resolution</w:t>
      </w:r>
      <w:r w:rsidR="0087265A" w:rsidRPr="0087265A">
        <w:rPr>
          <w:b/>
          <w:bCs/>
        </w:rPr>
        <w:t>:</w:t>
      </w:r>
    </w:p>
    <w:p w14:paraId="6DBA3100" w14:textId="324843ED" w:rsidR="0087265A" w:rsidRDefault="00FF5246" w:rsidP="0087265A">
      <w:r>
        <w:t>Perform the following subtractions using PARX from Heng</w:t>
      </w:r>
      <w:r w:rsidR="00AB14DE">
        <w:t xml:space="preserve"> Li</w:t>
      </w:r>
    </w:p>
    <w:p w14:paraId="0F24F1C2" w14:textId="77777777" w:rsidR="00FF5246" w:rsidRPr="001619ED" w:rsidRDefault="00FF5246" w:rsidP="00FF5246">
      <w:r w:rsidRPr="001619ED">
        <w:t>GRCh38 subtract PAR X from</w:t>
      </w:r>
    </w:p>
    <w:p w14:paraId="175B48C4" w14:textId="77777777" w:rsidR="00FF5246" w:rsidRPr="001619ED" w:rsidRDefault="00FF5246" w:rsidP="00FF5246">
      <w:pPr>
        <w:pStyle w:val="ListParagraph"/>
        <w:numPr>
          <w:ilvl w:val="0"/>
          <w:numId w:val="1"/>
        </w:numPr>
      </w:pPr>
      <w:r w:rsidRPr="001619ED">
        <w:t>chainself_gt10kb.bed</w:t>
      </w:r>
    </w:p>
    <w:p w14:paraId="24033DE7" w14:textId="77777777" w:rsidR="00FF5246" w:rsidRDefault="00FF5246" w:rsidP="00FF5246">
      <w:pPr>
        <w:pStyle w:val="ListParagraph"/>
        <w:numPr>
          <w:ilvl w:val="0"/>
          <w:numId w:val="1"/>
        </w:numPr>
      </w:pPr>
      <w:proofErr w:type="spellStart"/>
      <w:r w:rsidRPr="001619ED">
        <w:t>chainself.bed</w:t>
      </w:r>
      <w:proofErr w:type="spellEnd"/>
    </w:p>
    <w:p w14:paraId="2B6A9153" w14:textId="77777777" w:rsidR="00FF5246" w:rsidRPr="001619ED" w:rsidRDefault="00FF5246" w:rsidP="00FF5246">
      <w:pPr>
        <w:pStyle w:val="ListParagraph"/>
      </w:pPr>
    </w:p>
    <w:p w14:paraId="3255DECA" w14:textId="77777777" w:rsidR="00FF5246" w:rsidRPr="001619ED" w:rsidRDefault="00FF5246" w:rsidP="00FF5246">
      <w:r w:rsidRPr="001619ED">
        <w:t>GRCh37 subtract PAR X from</w:t>
      </w:r>
    </w:p>
    <w:p w14:paraId="2350C9B8" w14:textId="77777777" w:rsidR="00FF5246" w:rsidRPr="001619ED" w:rsidRDefault="00FF5246" w:rsidP="00FF5246">
      <w:pPr>
        <w:pStyle w:val="ListParagraph"/>
        <w:numPr>
          <w:ilvl w:val="0"/>
          <w:numId w:val="2"/>
        </w:numPr>
      </w:pPr>
      <w:r w:rsidRPr="001619ED">
        <w:t>chainself_gt10kb.bed</w:t>
      </w:r>
    </w:p>
    <w:p w14:paraId="6D57659E" w14:textId="77777777" w:rsidR="00FF5246" w:rsidRPr="001619ED" w:rsidRDefault="00FF5246" w:rsidP="00FF5246">
      <w:pPr>
        <w:pStyle w:val="ListParagraph"/>
        <w:numPr>
          <w:ilvl w:val="0"/>
          <w:numId w:val="2"/>
        </w:numPr>
      </w:pPr>
      <w:proofErr w:type="spellStart"/>
      <w:r w:rsidRPr="001619ED">
        <w:t>chainself.bed</w:t>
      </w:r>
      <w:proofErr w:type="spellEnd"/>
    </w:p>
    <w:p w14:paraId="4CE24D11" w14:textId="77777777" w:rsidR="00FF5246" w:rsidRPr="001619ED" w:rsidRDefault="00FF5246" w:rsidP="00FF5246">
      <w:pPr>
        <w:pStyle w:val="ListParagraph"/>
        <w:numPr>
          <w:ilvl w:val="0"/>
          <w:numId w:val="2"/>
        </w:numPr>
      </w:pPr>
      <w:proofErr w:type="spellStart"/>
      <w:r w:rsidRPr="001619ED">
        <w:t>segdups.bed</w:t>
      </w:r>
      <w:proofErr w:type="spellEnd"/>
    </w:p>
    <w:p w14:paraId="20B369F5" w14:textId="77777777" w:rsidR="00FF5246" w:rsidRDefault="00FF5246" w:rsidP="00FF5246">
      <w:pPr>
        <w:pStyle w:val="ListParagraph"/>
        <w:numPr>
          <w:ilvl w:val="0"/>
          <w:numId w:val="2"/>
        </w:numPr>
      </w:pPr>
      <w:r w:rsidRPr="001619ED">
        <w:t>segdups_gt10kb.bed</w:t>
      </w:r>
    </w:p>
    <w:p w14:paraId="1DF49B3F" w14:textId="77777777" w:rsidR="00FF5246" w:rsidRPr="001619ED" w:rsidRDefault="00FF5246" w:rsidP="00FF5246">
      <w:pPr>
        <w:pStyle w:val="ListParagraph"/>
      </w:pPr>
    </w:p>
    <w:p w14:paraId="4BF47F0D" w14:textId="77777777" w:rsidR="00FF5246" w:rsidRPr="001619ED" w:rsidRDefault="00FF5246" w:rsidP="00FF5246">
      <w:r w:rsidRPr="001619ED">
        <w:t>CHM13</w:t>
      </w:r>
    </w:p>
    <w:p w14:paraId="2303B949" w14:textId="2A5240E2" w:rsidR="00695850" w:rsidRDefault="00FF5246" w:rsidP="0087265A">
      <w:r w:rsidRPr="001619ED">
        <w:t xml:space="preserve">no subtraction as </w:t>
      </w:r>
      <w:proofErr w:type="spellStart"/>
      <w:r w:rsidRPr="001619ED">
        <w:t>segdups</w:t>
      </w:r>
      <w:proofErr w:type="spellEnd"/>
      <w:r w:rsidRPr="001619ED">
        <w:t xml:space="preserve"> </w:t>
      </w:r>
      <w:proofErr w:type="spellStart"/>
      <w:r w:rsidRPr="001619ED">
        <w:t>strat</w:t>
      </w:r>
      <w:proofErr w:type="spellEnd"/>
      <w:r w:rsidRPr="001619ED">
        <w:t xml:space="preserve"> is properly annotated</w:t>
      </w:r>
    </w:p>
    <w:p w14:paraId="308FF505" w14:textId="1DB78F45" w:rsidR="00FF5246" w:rsidRDefault="00FF5246" w:rsidP="0087265A"/>
    <w:p w14:paraId="2600045D" w14:textId="4DB6B4C7" w:rsidR="00FF5246" w:rsidRPr="00FF5246" w:rsidRDefault="00FF5246" w:rsidP="0087265A">
      <w:pPr>
        <w:rPr>
          <w:b/>
          <w:bCs/>
        </w:rPr>
      </w:pPr>
      <w:r w:rsidRPr="00FF5246">
        <w:rPr>
          <w:b/>
          <w:bCs/>
        </w:rPr>
        <w:t>Issue #2:</w:t>
      </w:r>
    </w:p>
    <w:p w14:paraId="7542044A" w14:textId="7CDAEE11" w:rsidR="00FF5246" w:rsidRDefault="00FF5246" w:rsidP="0087265A">
      <w:r w:rsidRPr="00FF5246">
        <w:t xml:space="preserve">Over time we've used PAR regions from three different sources for </w:t>
      </w:r>
      <w:proofErr w:type="spellStart"/>
      <w:r w:rsidRPr="00FF5246">
        <w:t>strats</w:t>
      </w:r>
      <w:proofErr w:type="spellEnd"/>
      <w:r w:rsidRPr="00FF5246">
        <w:t xml:space="preserve"> and </w:t>
      </w:r>
      <w:proofErr w:type="spellStart"/>
      <w:r w:rsidRPr="00FF5246">
        <w:t>dipcall</w:t>
      </w:r>
      <w:proofErr w:type="spellEnd"/>
      <w:r w:rsidRPr="00FF5246">
        <w:t>.  I wanted to confirm the regions were the same and found they are not</w:t>
      </w:r>
    </w:p>
    <w:p w14:paraId="0EF1322F" w14:textId="67AD8777" w:rsidR="00FF5246" w:rsidRPr="00FF5246" w:rsidRDefault="00A84D2C" w:rsidP="0087265A">
      <w:pPr>
        <w:rPr>
          <w:b/>
          <w:bCs/>
        </w:rPr>
      </w:pPr>
      <w:r>
        <w:rPr>
          <w:b/>
          <w:bCs/>
        </w:rPr>
        <w:t>Resolution</w:t>
      </w:r>
      <w:r w:rsidR="00FF5246" w:rsidRPr="00FF5246">
        <w:rPr>
          <w:b/>
          <w:bCs/>
        </w:rPr>
        <w:t>:</w:t>
      </w:r>
    </w:p>
    <w:p w14:paraId="4510AC85" w14:textId="77777777" w:rsidR="00FF5246" w:rsidRPr="004545CF" w:rsidRDefault="00FF5246" w:rsidP="00FF5246">
      <w:r>
        <w:t xml:space="preserve">update </w:t>
      </w:r>
      <w:r w:rsidRPr="00011349">
        <w:rPr>
          <w:highlight w:val="yellow"/>
        </w:rPr>
        <w:t xml:space="preserve">PARX and Y to use </w:t>
      </w:r>
      <w:proofErr w:type="spellStart"/>
      <w:r w:rsidRPr="00011349">
        <w:rPr>
          <w:highlight w:val="yellow"/>
        </w:rPr>
        <w:t>heng</w:t>
      </w:r>
      <w:proofErr w:type="spellEnd"/>
      <w:r w:rsidRPr="00011349">
        <w:rPr>
          <w:highlight w:val="yellow"/>
        </w:rPr>
        <w:t xml:space="preserve"> (X) and UCSC (Y)</w:t>
      </w:r>
    </w:p>
    <w:p w14:paraId="3EFFE0CF" w14:textId="79604867" w:rsidR="00695850" w:rsidRDefault="00695850" w:rsidP="0087265A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965"/>
        <w:gridCol w:w="3240"/>
        <w:gridCol w:w="3690"/>
      </w:tblGrid>
      <w:tr w:rsidR="00695850" w14:paraId="33D2E97B" w14:textId="77777777" w:rsidTr="00695850">
        <w:tc>
          <w:tcPr>
            <w:tcW w:w="2965" w:type="dxa"/>
          </w:tcPr>
          <w:p w14:paraId="14B80AEC" w14:textId="78F079AF" w:rsidR="00695850" w:rsidRPr="001B4075" w:rsidRDefault="00695850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GRCh38</w:t>
            </w:r>
          </w:p>
        </w:tc>
        <w:tc>
          <w:tcPr>
            <w:tcW w:w="3240" w:type="dxa"/>
          </w:tcPr>
          <w:p w14:paraId="7387AC8A" w14:textId="49553742" w:rsidR="00695850" w:rsidRPr="001B4075" w:rsidRDefault="00695850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PAR- X</w:t>
            </w:r>
          </w:p>
        </w:tc>
        <w:tc>
          <w:tcPr>
            <w:tcW w:w="3690" w:type="dxa"/>
          </w:tcPr>
          <w:p w14:paraId="277E5014" w14:textId="45933394" w:rsidR="00695850" w:rsidRPr="001B4075" w:rsidRDefault="00695850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PAR-Y</w:t>
            </w:r>
          </w:p>
        </w:tc>
      </w:tr>
      <w:tr w:rsidR="00695850" w14:paraId="7026E588" w14:textId="77777777" w:rsidTr="00695850">
        <w:tc>
          <w:tcPr>
            <w:tcW w:w="2965" w:type="dxa"/>
          </w:tcPr>
          <w:p w14:paraId="3D53E1D6" w14:textId="74E4F079" w:rsidR="00695850" w:rsidRDefault="00695850" w:rsidP="0087265A">
            <w:r>
              <w:t xml:space="preserve">Melissa – used for </w:t>
            </w:r>
            <w:r w:rsidR="0043585B">
              <w:t xml:space="preserve">XY </w:t>
            </w:r>
            <w:proofErr w:type="spellStart"/>
            <w:r>
              <w:t>strat</w:t>
            </w:r>
            <w:proofErr w:type="spellEnd"/>
          </w:p>
        </w:tc>
        <w:tc>
          <w:tcPr>
            <w:tcW w:w="3240" w:type="dxa"/>
          </w:tcPr>
          <w:p w14:paraId="6A0A7129" w14:textId="77777777" w:rsidR="00695850" w:rsidRDefault="00695850" w:rsidP="00695850">
            <w:r w:rsidRPr="001B4075">
              <w:rPr>
                <w:color w:val="FF0000"/>
              </w:rPr>
              <w:t>10001</w:t>
            </w:r>
            <w:r>
              <w:tab/>
              <w:t>2781479</w:t>
            </w:r>
          </w:p>
          <w:p w14:paraId="560B9386" w14:textId="2DA4218A" w:rsidR="00695850" w:rsidRDefault="00695850" w:rsidP="00695850">
            <w:r>
              <w:t>155701383</w:t>
            </w:r>
            <w:r>
              <w:tab/>
              <w:t>156030895</w:t>
            </w:r>
          </w:p>
        </w:tc>
        <w:tc>
          <w:tcPr>
            <w:tcW w:w="3690" w:type="dxa"/>
          </w:tcPr>
          <w:p w14:paraId="6B26A919" w14:textId="77777777" w:rsidR="00695850" w:rsidRDefault="00695850" w:rsidP="00695850">
            <w:r w:rsidRPr="001B4075">
              <w:rPr>
                <w:color w:val="7030A0"/>
              </w:rPr>
              <w:t>10001</w:t>
            </w:r>
            <w:r>
              <w:tab/>
              <w:t>2781479</w:t>
            </w:r>
          </w:p>
          <w:p w14:paraId="2552AF96" w14:textId="45320A36" w:rsidR="00695850" w:rsidRDefault="00695850" w:rsidP="00695850">
            <w:r w:rsidRPr="001B4075">
              <w:rPr>
                <w:color w:val="538135" w:themeColor="accent6" w:themeShade="BF"/>
              </w:rPr>
              <w:t>56987321</w:t>
            </w:r>
            <w:r>
              <w:tab/>
              <w:t>57217415</w:t>
            </w:r>
          </w:p>
        </w:tc>
      </w:tr>
      <w:tr w:rsidR="00695850" w14:paraId="6B8F4F25" w14:textId="77777777" w:rsidTr="00695850">
        <w:tc>
          <w:tcPr>
            <w:tcW w:w="2965" w:type="dxa"/>
          </w:tcPr>
          <w:p w14:paraId="2A0D5A94" w14:textId="0B4BF53C" w:rsidR="00695850" w:rsidRPr="00011349" w:rsidRDefault="00695850" w:rsidP="0087265A">
            <w:pPr>
              <w:rPr>
                <w:highlight w:val="yellow"/>
              </w:rPr>
            </w:pPr>
            <w:r w:rsidRPr="00011349">
              <w:rPr>
                <w:highlight w:val="yellow"/>
              </w:rPr>
              <w:t xml:space="preserve">Heng – used by </w:t>
            </w:r>
            <w:proofErr w:type="spellStart"/>
            <w:r w:rsidRPr="00011349">
              <w:rPr>
                <w:highlight w:val="yellow"/>
              </w:rPr>
              <w:t>dipcall</w:t>
            </w:r>
            <w:proofErr w:type="spellEnd"/>
          </w:p>
        </w:tc>
        <w:tc>
          <w:tcPr>
            <w:tcW w:w="3240" w:type="dxa"/>
          </w:tcPr>
          <w:p w14:paraId="6ED42B41" w14:textId="3E23FE94" w:rsidR="00695850" w:rsidRPr="00011349" w:rsidRDefault="00695850" w:rsidP="00695850">
            <w:pPr>
              <w:rPr>
                <w:highlight w:val="yellow"/>
              </w:rPr>
            </w:pPr>
            <w:r w:rsidRPr="00011349">
              <w:rPr>
                <w:color w:val="FF0000"/>
                <w:highlight w:val="yellow"/>
              </w:rPr>
              <w:t>0</w:t>
            </w:r>
            <w:r w:rsidRPr="00011349">
              <w:rPr>
                <w:highlight w:val="yellow"/>
              </w:rPr>
              <w:tab/>
              <w:t>2781479</w:t>
            </w:r>
          </w:p>
          <w:p w14:paraId="5D58B209" w14:textId="05EA37CE" w:rsidR="00695850" w:rsidRPr="00011349" w:rsidRDefault="00695850" w:rsidP="00695850">
            <w:pPr>
              <w:rPr>
                <w:highlight w:val="yellow"/>
              </w:rPr>
            </w:pPr>
            <w:r w:rsidRPr="00011349">
              <w:rPr>
                <w:highlight w:val="yellow"/>
              </w:rPr>
              <w:t>155701383</w:t>
            </w:r>
            <w:r w:rsidRPr="00011349">
              <w:rPr>
                <w:highlight w:val="yellow"/>
              </w:rPr>
              <w:tab/>
              <w:t>156030895</w:t>
            </w:r>
          </w:p>
        </w:tc>
        <w:tc>
          <w:tcPr>
            <w:tcW w:w="3690" w:type="dxa"/>
          </w:tcPr>
          <w:p w14:paraId="2162EF9E" w14:textId="43337BA7" w:rsidR="00695850" w:rsidRDefault="00695850" w:rsidP="00695850"/>
        </w:tc>
      </w:tr>
      <w:tr w:rsidR="00695850" w14:paraId="238DA79F" w14:textId="77777777" w:rsidTr="00695850">
        <w:tc>
          <w:tcPr>
            <w:tcW w:w="2965" w:type="dxa"/>
          </w:tcPr>
          <w:p w14:paraId="73DC3AF8" w14:textId="54789BCB" w:rsidR="00695850" w:rsidRDefault="00695850" w:rsidP="0087265A">
            <w:r w:rsidRPr="00011349">
              <w:rPr>
                <w:highlight w:val="yellow"/>
              </w:rPr>
              <w:t>UCSC – used for subtraction in post processing</w:t>
            </w:r>
          </w:p>
        </w:tc>
        <w:tc>
          <w:tcPr>
            <w:tcW w:w="3240" w:type="dxa"/>
          </w:tcPr>
          <w:p w14:paraId="62CF3819" w14:textId="77777777" w:rsidR="00695850" w:rsidRDefault="00695850" w:rsidP="0087265A"/>
        </w:tc>
        <w:tc>
          <w:tcPr>
            <w:tcW w:w="3690" w:type="dxa"/>
          </w:tcPr>
          <w:p w14:paraId="5124D916" w14:textId="2951F088" w:rsidR="00695850" w:rsidRPr="00011349" w:rsidRDefault="00695850" w:rsidP="00695850">
            <w:pPr>
              <w:rPr>
                <w:highlight w:val="yellow"/>
              </w:rPr>
            </w:pPr>
            <w:r w:rsidRPr="00011349">
              <w:rPr>
                <w:color w:val="7030A0"/>
                <w:highlight w:val="yellow"/>
              </w:rPr>
              <w:t>10000</w:t>
            </w:r>
            <w:r w:rsidRPr="00011349">
              <w:rPr>
                <w:highlight w:val="yellow"/>
              </w:rPr>
              <w:tab/>
              <w:t>2781479</w:t>
            </w:r>
          </w:p>
          <w:p w14:paraId="435EB68A" w14:textId="47855D4F" w:rsidR="00695850" w:rsidRDefault="00695850" w:rsidP="00695850">
            <w:r w:rsidRPr="00011349">
              <w:rPr>
                <w:color w:val="538135" w:themeColor="accent6" w:themeShade="BF"/>
                <w:highlight w:val="yellow"/>
              </w:rPr>
              <w:t>56887902</w:t>
            </w:r>
            <w:r w:rsidRPr="00011349">
              <w:rPr>
                <w:highlight w:val="yellow"/>
              </w:rPr>
              <w:tab/>
              <w:t>57217415</w:t>
            </w:r>
          </w:p>
        </w:tc>
      </w:tr>
      <w:tr w:rsidR="00695850" w14:paraId="0E6EF849" w14:textId="77777777" w:rsidTr="000B7B62">
        <w:tc>
          <w:tcPr>
            <w:tcW w:w="2965" w:type="dxa"/>
            <w:shd w:val="clear" w:color="auto" w:fill="7F7F7F" w:themeFill="text1" w:themeFillTint="80"/>
          </w:tcPr>
          <w:p w14:paraId="0C64504A" w14:textId="77777777" w:rsidR="00695850" w:rsidRDefault="00695850" w:rsidP="0087265A"/>
        </w:tc>
        <w:tc>
          <w:tcPr>
            <w:tcW w:w="3240" w:type="dxa"/>
            <w:shd w:val="clear" w:color="auto" w:fill="7F7F7F" w:themeFill="text1" w:themeFillTint="80"/>
          </w:tcPr>
          <w:p w14:paraId="7F68CBF8" w14:textId="77777777" w:rsidR="00695850" w:rsidRDefault="00695850" w:rsidP="0087265A"/>
        </w:tc>
        <w:tc>
          <w:tcPr>
            <w:tcW w:w="3690" w:type="dxa"/>
            <w:shd w:val="clear" w:color="auto" w:fill="7F7F7F" w:themeFill="text1" w:themeFillTint="80"/>
          </w:tcPr>
          <w:p w14:paraId="4A328040" w14:textId="77777777" w:rsidR="00695850" w:rsidRDefault="00695850" w:rsidP="0087265A"/>
        </w:tc>
      </w:tr>
      <w:tr w:rsidR="000B7B62" w14:paraId="0E192252" w14:textId="77777777" w:rsidTr="00695850">
        <w:tc>
          <w:tcPr>
            <w:tcW w:w="2965" w:type="dxa"/>
          </w:tcPr>
          <w:p w14:paraId="5237C49C" w14:textId="7E15A73E" w:rsidR="000B7B62" w:rsidRPr="001B4075" w:rsidRDefault="000B7B62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GRCh37</w:t>
            </w:r>
          </w:p>
        </w:tc>
        <w:tc>
          <w:tcPr>
            <w:tcW w:w="3240" w:type="dxa"/>
          </w:tcPr>
          <w:p w14:paraId="407E8870" w14:textId="6535BF68" w:rsidR="000B7B62" w:rsidRPr="001B4075" w:rsidRDefault="000B7B62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PAR- X</w:t>
            </w:r>
          </w:p>
        </w:tc>
        <w:tc>
          <w:tcPr>
            <w:tcW w:w="3690" w:type="dxa"/>
          </w:tcPr>
          <w:p w14:paraId="5E9826E6" w14:textId="1F382E4E" w:rsidR="000B7B62" w:rsidRPr="001B4075" w:rsidRDefault="000B7B62" w:rsidP="000B7B62">
            <w:pPr>
              <w:jc w:val="center"/>
              <w:rPr>
                <w:b/>
                <w:bCs/>
              </w:rPr>
            </w:pPr>
            <w:r w:rsidRPr="001B4075">
              <w:rPr>
                <w:b/>
                <w:bCs/>
              </w:rPr>
              <w:t>PAR-Y</w:t>
            </w:r>
          </w:p>
        </w:tc>
      </w:tr>
      <w:tr w:rsidR="000B7B62" w14:paraId="528DE757" w14:textId="77777777" w:rsidTr="00695850">
        <w:tc>
          <w:tcPr>
            <w:tcW w:w="2965" w:type="dxa"/>
          </w:tcPr>
          <w:p w14:paraId="66E0D87C" w14:textId="6E929100" w:rsidR="000B7B62" w:rsidRDefault="000B7B62" w:rsidP="000B7B62">
            <w:r>
              <w:t xml:space="preserve">Melissa – used for </w:t>
            </w:r>
            <w:r w:rsidR="0043585B">
              <w:t xml:space="preserve">XY </w:t>
            </w:r>
            <w:proofErr w:type="spellStart"/>
            <w:r>
              <w:t>strat</w:t>
            </w:r>
            <w:proofErr w:type="spellEnd"/>
          </w:p>
        </w:tc>
        <w:tc>
          <w:tcPr>
            <w:tcW w:w="3240" w:type="dxa"/>
          </w:tcPr>
          <w:p w14:paraId="23B34792" w14:textId="77777777" w:rsidR="000B7B62" w:rsidRDefault="000B7B62" w:rsidP="000B7B62">
            <w:r w:rsidRPr="001B4075">
              <w:rPr>
                <w:color w:val="FF0000"/>
              </w:rPr>
              <w:t>60001</w:t>
            </w:r>
            <w:r>
              <w:tab/>
              <w:t>2699520</w:t>
            </w:r>
          </w:p>
          <w:p w14:paraId="5ADE084D" w14:textId="2FCD679C" w:rsidR="000B7B62" w:rsidRDefault="000B7B62" w:rsidP="000B7B62">
            <w:r w:rsidRPr="001B4075">
              <w:rPr>
                <w:color w:val="2F5496" w:themeColor="accent1" w:themeShade="BF"/>
              </w:rPr>
              <w:t>154931044</w:t>
            </w:r>
            <w:r>
              <w:tab/>
              <w:t>155260560</w:t>
            </w:r>
          </w:p>
        </w:tc>
        <w:tc>
          <w:tcPr>
            <w:tcW w:w="3690" w:type="dxa"/>
          </w:tcPr>
          <w:p w14:paraId="337B6424" w14:textId="77777777" w:rsidR="000B7B62" w:rsidRDefault="000B7B62" w:rsidP="000B7B62">
            <w:r w:rsidRPr="001B4075">
              <w:rPr>
                <w:color w:val="7030A0"/>
              </w:rPr>
              <w:t>0</w:t>
            </w:r>
            <w:r>
              <w:tab/>
            </w:r>
            <w:r w:rsidRPr="001B4075">
              <w:rPr>
                <w:color w:val="C45911" w:themeColor="accent2" w:themeShade="BF"/>
              </w:rPr>
              <w:t>2749806</w:t>
            </w:r>
          </w:p>
          <w:p w14:paraId="12F16A76" w14:textId="1FBD7B64" w:rsidR="000B7B62" w:rsidRDefault="000B7B62" w:rsidP="000B7B62">
            <w:r w:rsidRPr="001B4075">
              <w:rPr>
                <w:color w:val="538135" w:themeColor="accent6" w:themeShade="BF"/>
              </w:rPr>
              <w:t>59133470</w:t>
            </w:r>
            <w:r>
              <w:tab/>
              <w:t>59373566</w:t>
            </w:r>
          </w:p>
        </w:tc>
      </w:tr>
      <w:tr w:rsidR="000B7B62" w14:paraId="677E158C" w14:textId="77777777" w:rsidTr="00695850">
        <w:tc>
          <w:tcPr>
            <w:tcW w:w="2965" w:type="dxa"/>
          </w:tcPr>
          <w:p w14:paraId="1D2CC94E" w14:textId="2664D176" w:rsidR="000B7B62" w:rsidRPr="00011349" w:rsidRDefault="000B7B62" w:rsidP="000B7B62">
            <w:pPr>
              <w:rPr>
                <w:highlight w:val="yellow"/>
              </w:rPr>
            </w:pPr>
            <w:r w:rsidRPr="00011349">
              <w:rPr>
                <w:highlight w:val="yellow"/>
              </w:rPr>
              <w:t xml:space="preserve">Heng – used by </w:t>
            </w:r>
            <w:proofErr w:type="spellStart"/>
            <w:r w:rsidRPr="00011349">
              <w:rPr>
                <w:highlight w:val="yellow"/>
              </w:rPr>
              <w:t>dipcall</w:t>
            </w:r>
            <w:proofErr w:type="spellEnd"/>
          </w:p>
        </w:tc>
        <w:tc>
          <w:tcPr>
            <w:tcW w:w="3240" w:type="dxa"/>
          </w:tcPr>
          <w:p w14:paraId="610EA83E" w14:textId="0DC22DB2" w:rsidR="000B7B62" w:rsidRPr="00011349" w:rsidRDefault="000B7B62" w:rsidP="000B7B62">
            <w:pPr>
              <w:rPr>
                <w:highlight w:val="yellow"/>
              </w:rPr>
            </w:pPr>
            <w:r w:rsidRPr="00011349">
              <w:rPr>
                <w:color w:val="FF0000"/>
                <w:highlight w:val="yellow"/>
              </w:rPr>
              <w:t>0</w:t>
            </w:r>
            <w:r w:rsidRPr="00011349">
              <w:rPr>
                <w:highlight w:val="yellow"/>
              </w:rPr>
              <w:tab/>
              <w:t>2699520</w:t>
            </w:r>
          </w:p>
          <w:p w14:paraId="5A336EBB" w14:textId="0CD585AD" w:rsidR="000B7B62" w:rsidRPr="00011349" w:rsidRDefault="000B7B62" w:rsidP="000B7B62">
            <w:pPr>
              <w:rPr>
                <w:highlight w:val="yellow"/>
              </w:rPr>
            </w:pPr>
            <w:r w:rsidRPr="00011349">
              <w:rPr>
                <w:color w:val="2F5496" w:themeColor="accent1" w:themeShade="BF"/>
                <w:highlight w:val="yellow"/>
              </w:rPr>
              <w:t>154931043</w:t>
            </w:r>
            <w:r w:rsidRPr="00011349">
              <w:rPr>
                <w:highlight w:val="yellow"/>
              </w:rPr>
              <w:tab/>
              <w:t>155260560</w:t>
            </w:r>
          </w:p>
        </w:tc>
        <w:tc>
          <w:tcPr>
            <w:tcW w:w="3690" w:type="dxa"/>
          </w:tcPr>
          <w:p w14:paraId="022BDB06" w14:textId="77777777" w:rsidR="000B7B62" w:rsidRDefault="000B7B62" w:rsidP="000B7B62"/>
        </w:tc>
      </w:tr>
      <w:tr w:rsidR="000B7B62" w14:paraId="35B3AD9F" w14:textId="77777777" w:rsidTr="00695850">
        <w:tc>
          <w:tcPr>
            <w:tcW w:w="2965" w:type="dxa"/>
          </w:tcPr>
          <w:p w14:paraId="2DEC6D11" w14:textId="251D7CDD" w:rsidR="000B7B62" w:rsidRDefault="000B7B62" w:rsidP="000B7B62">
            <w:r w:rsidRPr="00011349">
              <w:rPr>
                <w:highlight w:val="yellow"/>
              </w:rPr>
              <w:t>UCSC – used for subtraction in post processing</w:t>
            </w:r>
          </w:p>
        </w:tc>
        <w:tc>
          <w:tcPr>
            <w:tcW w:w="3240" w:type="dxa"/>
          </w:tcPr>
          <w:p w14:paraId="6220F708" w14:textId="77777777" w:rsidR="000B7B62" w:rsidRDefault="000B7B62" w:rsidP="000B7B62"/>
        </w:tc>
        <w:tc>
          <w:tcPr>
            <w:tcW w:w="3690" w:type="dxa"/>
          </w:tcPr>
          <w:p w14:paraId="310D7BF1" w14:textId="77777777" w:rsidR="000B7B62" w:rsidRPr="00011349" w:rsidRDefault="000B7B62" w:rsidP="000B7B62">
            <w:pPr>
              <w:rPr>
                <w:highlight w:val="yellow"/>
              </w:rPr>
            </w:pPr>
            <w:r w:rsidRPr="00011349">
              <w:rPr>
                <w:color w:val="7030A0"/>
                <w:highlight w:val="yellow"/>
              </w:rPr>
              <w:t>10001</w:t>
            </w:r>
            <w:r w:rsidRPr="00011349">
              <w:rPr>
                <w:highlight w:val="yellow"/>
              </w:rPr>
              <w:tab/>
            </w:r>
            <w:r w:rsidRPr="00011349">
              <w:rPr>
                <w:color w:val="C45911" w:themeColor="accent2" w:themeShade="BF"/>
                <w:highlight w:val="yellow"/>
              </w:rPr>
              <w:t>2649520</w:t>
            </w:r>
          </w:p>
          <w:p w14:paraId="25B1EBE6" w14:textId="7EFB95D8" w:rsidR="000B7B62" w:rsidRDefault="000B7B62" w:rsidP="000B7B62">
            <w:r w:rsidRPr="00011349">
              <w:rPr>
                <w:color w:val="538135" w:themeColor="accent6" w:themeShade="BF"/>
                <w:highlight w:val="yellow"/>
              </w:rPr>
              <w:t>59034050</w:t>
            </w:r>
            <w:r w:rsidRPr="00011349">
              <w:rPr>
                <w:highlight w:val="yellow"/>
              </w:rPr>
              <w:tab/>
              <w:t>59363566</w:t>
            </w:r>
          </w:p>
        </w:tc>
      </w:tr>
    </w:tbl>
    <w:p w14:paraId="7DC68423" w14:textId="77777777" w:rsidR="00695850" w:rsidRPr="0087265A" w:rsidRDefault="00695850" w:rsidP="0087265A"/>
    <w:p w14:paraId="09E6555B" w14:textId="77777777" w:rsidR="00FF5246" w:rsidRDefault="00FF5246" w:rsidP="0087265A">
      <w:pPr>
        <w:tabs>
          <w:tab w:val="left" w:pos="8278"/>
        </w:tabs>
        <w:rPr>
          <w:b/>
          <w:bCs/>
        </w:rPr>
      </w:pPr>
    </w:p>
    <w:p w14:paraId="1B802031" w14:textId="5C8280DA" w:rsidR="0087265A" w:rsidRPr="009B1A32" w:rsidRDefault="009B1A32" w:rsidP="0087265A">
      <w:pPr>
        <w:tabs>
          <w:tab w:val="left" w:pos="8278"/>
        </w:tabs>
        <w:rPr>
          <w:b/>
          <w:bCs/>
        </w:rPr>
      </w:pPr>
      <w:r w:rsidRPr="009B1A32">
        <w:rPr>
          <w:b/>
          <w:bCs/>
        </w:rPr>
        <w:t>Issue #</w:t>
      </w:r>
      <w:r w:rsidR="00A84D2C">
        <w:rPr>
          <w:b/>
          <w:bCs/>
        </w:rPr>
        <w:t>3</w:t>
      </w:r>
      <w:r w:rsidRPr="009B1A32">
        <w:rPr>
          <w:b/>
          <w:bCs/>
        </w:rPr>
        <w:t xml:space="preserve">:  </w:t>
      </w:r>
    </w:p>
    <w:p w14:paraId="38E67DDE" w14:textId="7CD874CF" w:rsidR="009B1A32" w:rsidRDefault="009B1A32" w:rsidP="009B1A32">
      <w:r w:rsidRPr="009B1A32">
        <w:lastRenderedPageBreak/>
        <w:t xml:space="preserve">CHM13 </w:t>
      </w:r>
      <w:proofErr w:type="spellStart"/>
      <w:r w:rsidRPr="009B1A32">
        <w:t>chrX_XTR</w:t>
      </w:r>
      <w:proofErr w:type="spellEnd"/>
      <w:r w:rsidRPr="009B1A32">
        <w:t xml:space="preserve"> and </w:t>
      </w:r>
      <w:proofErr w:type="spellStart"/>
      <w:r w:rsidRPr="009B1A32">
        <w:t>chrX_PAR</w:t>
      </w:r>
      <w:proofErr w:type="spellEnd"/>
      <w:r w:rsidRPr="009B1A32">
        <w:t xml:space="preserve"> stratification names are switched, and </w:t>
      </w:r>
      <w:proofErr w:type="spellStart"/>
      <w:r w:rsidRPr="009B1A32">
        <w:t>chrY_XTR</w:t>
      </w:r>
      <w:proofErr w:type="spellEnd"/>
      <w:r w:rsidRPr="009B1A32">
        <w:t xml:space="preserve"> and </w:t>
      </w:r>
      <w:proofErr w:type="spellStart"/>
      <w:r w:rsidRPr="009B1A32">
        <w:t>chrY_PAR</w:t>
      </w:r>
      <w:proofErr w:type="spellEnd"/>
      <w:r w:rsidRPr="009B1A32">
        <w:t xml:space="preserve"> </w:t>
      </w:r>
      <w:proofErr w:type="gramStart"/>
      <w:r w:rsidRPr="009B1A32">
        <w:t>are</w:t>
      </w:r>
      <w:proofErr w:type="gramEnd"/>
      <w:r w:rsidRPr="009B1A32">
        <w:t xml:space="preserve"> also switched</w:t>
      </w:r>
      <w:r w:rsidR="00AB14DE">
        <w:t xml:space="preserve"> due to error in </w:t>
      </w:r>
      <w:r w:rsidR="009B150C">
        <w:t xml:space="preserve">stratification </w:t>
      </w:r>
      <w:proofErr w:type="spellStart"/>
      <w:r w:rsidR="00AB14DE">
        <w:t>tsv</w:t>
      </w:r>
      <w:proofErr w:type="spellEnd"/>
      <w:r w:rsidR="00AB14DE">
        <w:t xml:space="preserve"> </w:t>
      </w:r>
      <w:r w:rsidR="009B150C">
        <w:t xml:space="preserve">with file locations </w:t>
      </w:r>
      <w:r w:rsidR="00AB14DE">
        <w:t xml:space="preserve">used by hap.py. </w:t>
      </w:r>
    </w:p>
    <w:p w14:paraId="047EA494" w14:textId="58C75522" w:rsidR="009B1A32" w:rsidRPr="009B1A32" w:rsidRDefault="009B1A32" w:rsidP="0087265A">
      <w:pPr>
        <w:tabs>
          <w:tab w:val="left" w:pos="8278"/>
        </w:tabs>
        <w:rPr>
          <w:b/>
          <w:bCs/>
        </w:rPr>
      </w:pPr>
      <w:r w:rsidRPr="009B1A32">
        <w:rPr>
          <w:b/>
          <w:bCs/>
        </w:rPr>
        <w:t>resolution:</w:t>
      </w:r>
    </w:p>
    <w:p w14:paraId="7219EBEA" w14:textId="39E2E129" w:rsidR="009B1A32" w:rsidRDefault="009B1A32" w:rsidP="0087265A">
      <w:pPr>
        <w:tabs>
          <w:tab w:val="left" w:pos="8278"/>
        </w:tabs>
      </w:pPr>
      <w:r>
        <w:t xml:space="preserve">fix fields in </w:t>
      </w:r>
      <w:proofErr w:type="spellStart"/>
      <w:r>
        <w:t>tsv</w:t>
      </w:r>
      <w:proofErr w:type="spellEnd"/>
    </w:p>
    <w:p w14:paraId="47AC449A" w14:textId="36D0B2A5" w:rsidR="009B1A32" w:rsidRDefault="009B1A32" w:rsidP="0087265A">
      <w:pPr>
        <w:tabs>
          <w:tab w:val="left" w:pos="8278"/>
        </w:tabs>
      </w:pPr>
    </w:p>
    <w:p w14:paraId="7F623097" w14:textId="381AF2A1" w:rsidR="009B1A32" w:rsidRDefault="009B1A32" w:rsidP="0087265A">
      <w:pPr>
        <w:tabs>
          <w:tab w:val="left" w:pos="8278"/>
        </w:tabs>
        <w:rPr>
          <w:b/>
          <w:bCs/>
        </w:rPr>
      </w:pPr>
      <w:r w:rsidRPr="009B1A32">
        <w:rPr>
          <w:b/>
          <w:bCs/>
        </w:rPr>
        <w:t>Issue #</w:t>
      </w:r>
      <w:r w:rsidR="00A84D2C">
        <w:rPr>
          <w:b/>
          <w:bCs/>
        </w:rPr>
        <w:t>4</w:t>
      </w:r>
      <w:r w:rsidRPr="009B1A32">
        <w:rPr>
          <w:b/>
          <w:bCs/>
        </w:rPr>
        <w:t>:</w:t>
      </w:r>
    </w:p>
    <w:p w14:paraId="092F0CB4" w14:textId="7033E083" w:rsidR="009B1A32" w:rsidRDefault="009B1A32" w:rsidP="009B1A32">
      <w:r w:rsidRPr="009B1A32">
        <w:t>JZ second-guessing decision to make the "</w:t>
      </w:r>
      <w:proofErr w:type="spellStart"/>
      <w:r w:rsidRPr="009B1A32">
        <w:t>nonPAR-nonXTR-nonampliconic</w:t>
      </w:r>
      <w:proofErr w:type="spellEnd"/>
      <w:r w:rsidRPr="009B1A32">
        <w:t xml:space="preserve">" beds. </w:t>
      </w:r>
    </w:p>
    <w:p w14:paraId="0237339A" w14:textId="77777777" w:rsidR="009B1A32" w:rsidRPr="009B1A32" w:rsidRDefault="009B1A32" w:rsidP="009B1A32">
      <w:pPr>
        <w:rPr>
          <w:b/>
          <w:bCs/>
        </w:rPr>
      </w:pPr>
      <w:r w:rsidRPr="009B1A32">
        <w:rPr>
          <w:b/>
          <w:bCs/>
        </w:rPr>
        <w:t>Resolution:</w:t>
      </w:r>
    </w:p>
    <w:p w14:paraId="6239144B" w14:textId="40B36B6F" w:rsidR="009B1A32" w:rsidRDefault="009B1A32" w:rsidP="009B1A32">
      <w:r>
        <w:t>Change</w:t>
      </w:r>
      <w:r w:rsidRPr="009B1A32">
        <w:t xml:space="preserve"> these to be just "</w:t>
      </w:r>
      <w:proofErr w:type="spellStart"/>
      <w:r w:rsidRPr="009B1A32">
        <w:t>nonPAR</w:t>
      </w:r>
      <w:proofErr w:type="spellEnd"/>
      <w:r w:rsidRPr="009B1A32">
        <w:t xml:space="preserve">" for 37, 38, and CHM13 (i.e., don't exclude XTR and </w:t>
      </w:r>
      <w:proofErr w:type="spellStart"/>
      <w:r w:rsidRPr="009B1A32">
        <w:t>ampliconic</w:t>
      </w:r>
      <w:proofErr w:type="spellEnd"/>
      <w:r w:rsidRPr="009B1A32">
        <w:t>, but just exclude PAR) in the next revision?</w:t>
      </w:r>
    </w:p>
    <w:p w14:paraId="3E2D4C7A" w14:textId="6ADBC546" w:rsidR="00B65416" w:rsidRDefault="00B65416" w:rsidP="009B1A32"/>
    <w:p w14:paraId="0C2C1049" w14:textId="3B9D3520" w:rsidR="00B65416" w:rsidRPr="00B65416" w:rsidRDefault="00B65416" w:rsidP="009B1A32">
      <w:pPr>
        <w:rPr>
          <w:b/>
          <w:bCs/>
        </w:rPr>
      </w:pPr>
      <w:r w:rsidRPr="00B65416">
        <w:rPr>
          <w:b/>
          <w:bCs/>
        </w:rPr>
        <w:t>Other Notes:</w:t>
      </w:r>
    </w:p>
    <w:p w14:paraId="3C7B3C11" w14:textId="77777777" w:rsidR="00B65416" w:rsidRPr="00B65416" w:rsidRDefault="00B65416" w:rsidP="00B65416">
      <w:pPr>
        <w:rPr>
          <w:rFonts w:ascii="Times New Roman" w:eastAsia="Times New Roman" w:hAnsi="Times New Roman" w:cs="Times New Roman"/>
        </w:rPr>
      </w:pPr>
      <w:r>
        <w:t xml:space="preserve">JZ noted </w:t>
      </w:r>
      <w:r w:rsidRPr="00B65416">
        <w:t xml:space="preserve">that it looks like the higher indel recall and precision on CHM13 is almost entirely due to homopolymers longer than 10bp. In contrast, the lower </w:t>
      </w:r>
      <w:proofErr w:type="spellStart"/>
      <w:r w:rsidRPr="00B65416">
        <w:t>snp</w:t>
      </w:r>
      <w:proofErr w:type="spellEnd"/>
      <w:r w:rsidRPr="00B65416">
        <w:t xml:space="preserve"> recall and precision on CHM13 seem related to tandem repeats and </w:t>
      </w:r>
      <w:proofErr w:type="spellStart"/>
      <w:r w:rsidRPr="00B65416">
        <w:t>segdups</w:t>
      </w:r>
      <w:proofErr w:type="spellEnd"/>
      <w:r w:rsidRPr="00B65416">
        <w:t xml:space="preserve"> (and </w:t>
      </w:r>
      <w:proofErr w:type="spellStart"/>
      <w:r w:rsidRPr="00B65416">
        <w:t>snps</w:t>
      </w:r>
      <w:proofErr w:type="spellEnd"/>
      <w:r w:rsidRPr="00B65416">
        <w:t xml:space="preserve"> in homopolymers &gt;10bp are </w:t>
      </w:r>
      <w:proofErr w:type="gramStart"/>
      <w:r w:rsidRPr="00B65416">
        <w:t>actually better</w:t>
      </w:r>
      <w:proofErr w:type="gramEnd"/>
      <w:r w:rsidRPr="00B65416">
        <w:t xml:space="preserve"> in CHM13)</w:t>
      </w:r>
    </w:p>
    <w:p w14:paraId="190BE2A5" w14:textId="5EBC3A8E" w:rsidR="00B65416" w:rsidRPr="009B1A32" w:rsidRDefault="00B65416" w:rsidP="009B1A32">
      <w:pPr>
        <w:rPr>
          <w:rFonts w:ascii="Times New Roman" w:eastAsia="Times New Roman" w:hAnsi="Times New Roman" w:cs="Times New Roman"/>
        </w:rPr>
      </w:pPr>
    </w:p>
    <w:p w14:paraId="3C37B02B" w14:textId="26285028" w:rsidR="009B1A32" w:rsidRDefault="00A95CBC" w:rsidP="0087265A">
      <w:pPr>
        <w:tabs>
          <w:tab w:val="left" w:pos="8278"/>
        </w:tabs>
        <w:rPr>
          <w:b/>
          <w:bCs/>
        </w:rPr>
      </w:pPr>
      <w:r>
        <w:rPr>
          <w:b/>
          <w:bCs/>
        </w:rPr>
        <w:t>Issue #5:</w:t>
      </w:r>
    </w:p>
    <w:p w14:paraId="0AF7489E" w14:textId="63B48E88" w:rsidR="00A95CBC" w:rsidRPr="004C5922" w:rsidRDefault="00A95CBC" w:rsidP="0087265A">
      <w:pPr>
        <w:tabs>
          <w:tab w:val="left" w:pos="8278"/>
        </w:tabs>
      </w:pPr>
      <w:r w:rsidRPr="004C5922">
        <w:t xml:space="preserve">Following revision </w:t>
      </w:r>
      <w:r w:rsidR="004C5922" w:rsidRPr="004C5922">
        <w:t>of</w:t>
      </w:r>
      <w:r w:rsidRPr="004C5922">
        <w:t xml:space="preserve"> PAR regions and correction of </w:t>
      </w:r>
      <w:proofErr w:type="spellStart"/>
      <w:r w:rsidRPr="004C5922">
        <w:t>tsv</w:t>
      </w:r>
      <w:proofErr w:type="spellEnd"/>
      <w:r w:rsidR="004C5922" w:rsidRPr="004C5922">
        <w:t xml:space="preserve"> we ran benchmarking again. </w:t>
      </w:r>
      <w:r w:rsidRPr="004C5922">
        <w:t xml:space="preserve"> JZ noted that something was weird with </w:t>
      </w:r>
      <w:r w:rsidR="004C5922" w:rsidRPr="004C5922">
        <w:t xml:space="preserve">CHM13 </w:t>
      </w:r>
      <w:r w:rsidRPr="004C5922">
        <w:t>PAR</w:t>
      </w:r>
      <w:r w:rsidR="00865463">
        <w:t>-</w:t>
      </w:r>
      <w:proofErr w:type="gramStart"/>
      <w:r w:rsidR="004C5922" w:rsidRPr="004C5922">
        <w:t>Y</w:t>
      </w:r>
      <w:proofErr w:type="gramEnd"/>
      <w:r w:rsidRPr="004C5922">
        <w:t xml:space="preserve"> and he suspected HiFi-DV</w:t>
      </w:r>
      <w:r w:rsidR="004C5922" w:rsidRPr="004C5922">
        <w:t xml:space="preserve"> query </w:t>
      </w:r>
      <w:proofErr w:type="spellStart"/>
      <w:r w:rsidR="004C5922" w:rsidRPr="004C5922">
        <w:t>callset</w:t>
      </w:r>
      <w:proofErr w:type="spellEnd"/>
      <w:r w:rsidRPr="004C5922">
        <w:t xml:space="preserve"> didn’t mask </w:t>
      </w:r>
      <w:proofErr w:type="spellStart"/>
      <w:r w:rsidRPr="004C5922">
        <w:t>chrY</w:t>
      </w:r>
      <w:proofErr w:type="spellEnd"/>
      <w:r w:rsidRPr="004C5922">
        <w:t xml:space="preserve"> PAR when aligning.  He asked that I pull up </w:t>
      </w:r>
      <w:proofErr w:type="spellStart"/>
      <w:r w:rsidRPr="004C5922">
        <w:t>HifiDV</w:t>
      </w:r>
      <w:proofErr w:type="spellEnd"/>
      <w:r w:rsidRPr="004C5922">
        <w:t xml:space="preserve"> </w:t>
      </w:r>
      <w:proofErr w:type="spellStart"/>
      <w:r w:rsidRPr="004C5922">
        <w:t>vcf</w:t>
      </w:r>
      <w:proofErr w:type="spellEnd"/>
      <w:r w:rsidR="00865463">
        <w:t xml:space="preserve"> in IGV (see below)</w:t>
      </w:r>
      <w:r w:rsidRPr="004C5922">
        <w:t xml:space="preserve"> and look at how many variants in PAR</w:t>
      </w:r>
      <w:r w:rsidR="00865463">
        <w:t>-</w:t>
      </w:r>
      <w:r w:rsidRPr="004C5922">
        <w:t>Y</w:t>
      </w:r>
      <w:r w:rsidR="00865463">
        <w:t>.</w:t>
      </w:r>
    </w:p>
    <w:p w14:paraId="1B15553A" w14:textId="77777777" w:rsidR="004C5922" w:rsidRDefault="004C5922" w:rsidP="0087265A">
      <w:pPr>
        <w:tabs>
          <w:tab w:val="left" w:pos="8278"/>
        </w:tabs>
        <w:rPr>
          <w:b/>
          <w:bCs/>
        </w:rPr>
      </w:pPr>
      <w:r>
        <w:rPr>
          <w:b/>
          <w:bCs/>
        </w:rPr>
        <w:t xml:space="preserve">Resolution: </w:t>
      </w:r>
    </w:p>
    <w:p w14:paraId="1197A3DD" w14:textId="5254B6FC" w:rsidR="004C5922" w:rsidRPr="004C5922" w:rsidRDefault="004C5922" w:rsidP="0087265A">
      <w:pPr>
        <w:tabs>
          <w:tab w:val="left" w:pos="8278"/>
        </w:tabs>
      </w:pPr>
      <w:r w:rsidRPr="004C5922">
        <w:t xml:space="preserve">Looking at </w:t>
      </w:r>
      <w:r w:rsidR="00865463">
        <w:t>q</w:t>
      </w:r>
      <w:r w:rsidRPr="004C5922">
        <w:t xml:space="preserve">uery </w:t>
      </w:r>
      <w:proofErr w:type="spellStart"/>
      <w:r w:rsidRPr="004C5922">
        <w:t>callsets</w:t>
      </w:r>
      <w:proofErr w:type="spellEnd"/>
      <w:r w:rsidRPr="004C5922">
        <w:t xml:space="preserve"> for all reference it does appear PAR</w:t>
      </w:r>
      <w:r w:rsidR="00865463">
        <w:t>-</w:t>
      </w:r>
      <w:r w:rsidRPr="004C5922">
        <w:t xml:space="preserve">Y was not masked in the </w:t>
      </w:r>
      <w:r w:rsidR="00865463">
        <w:t xml:space="preserve">CHM13v2.0 </w:t>
      </w:r>
      <w:r w:rsidRPr="004C5922">
        <w:t xml:space="preserve">query </w:t>
      </w:r>
      <w:proofErr w:type="spellStart"/>
      <w:r w:rsidRPr="004C5922">
        <w:t>callset</w:t>
      </w:r>
      <w:proofErr w:type="spellEnd"/>
      <w:r w:rsidRPr="004C5922">
        <w:t xml:space="preserve"> as JZ suspected.  This is not a problem with our stratifications rather and issue with the contributed </w:t>
      </w:r>
      <w:proofErr w:type="spellStart"/>
      <w:r w:rsidRPr="004C5922">
        <w:t>callset</w:t>
      </w:r>
      <w:proofErr w:type="spellEnd"/>
      <w:r w:rsidRPr="004C5922">
        <w:t xml:space="preserve">. </w:t>
      </w:r>
      <w:r w:rsidR="00865463">
        <w:t xml:space="preserve"> PAR-Y was properly masked in GRCh37/38 </w:t>
      </w:r>
      <w:proofErr w:type="spellStart"/>
      <w:r w:rsidR="00865463">
        <w:t>callsets</w:t>
      </w:r>
      <w:proofErr w:type="spellEnd"/>
      <w:r w:rsidR="00865463">
        <w:t xml:space="preserve">. </w:t>
      </w:r>
    </w:p>
    <w:p w14:paraId="40F216B0" w14:textId="39B2223D" w:rsidR="00A95CBC" w:rsidRDefault="00A95CBC" w:rsidP="0087265A">
      <w:pPr>
        <w:tabs>
          <w:tab w:val="left" w:pos="8278"/>
        </w:tabs>
        <w:rPr>
          <w:b/>
          <w:bCs/>
        </w:rPr>
      </w:pPr>
    </w:p>
    <w:p w14:paraId="01D84E1D" w14:textId="62395ABE" w:rsidR="00A95CBC" w:rsidRDefault="00A95CBC" w:rsidP="0087265A">
      <w:pPr>
        <w:tabs>
          <w:tab w:val="left" w:pos="8278"/>
        </w:tabs>
        <w:rPr>
          <w:b/>
          <w:bCs/>
        </w:rPr>
      </w:pPr>
    </w:p>
    <w:p w14:paraId="4D5B0B4F" w14:textId="38CDAFD7" w:rsidR="00A95CBC" w:rsidRDefault="00A95CBC" w:rsidP="0087265A">
      <w:pPr>
        <w:tabs>
          <w:tab w:val="left" w:pos="8278"/>
        </w:tabs>
        <w:rPr>
          <w:b/>
          <w:bCs/>
        </w:rPr>
      </w:pPr>
    </w:p>
    <w:p w14:paraId="45DF924A" w14:textId="2CFBE9CA" w:rsidR="00A95CBC" w:rsidRDefault="00A95CBC" w:rsidP="0087265A">
      <w:pPr>
        <w:tabs>
          <w:tab w:val="left" w:pos="8278"/>
        </w:tabs>
        <w:rPr>
          <w:b/>
          <w:bCs/>
        </w:rPr>
      </w:pPr>
    </w:p>
    <w:p w14:paraId="5744BA1B" w14:textId="02A481D8" w:rsidR="00A95CBC" w:rsidRDefault="00A95CBC" w:rsidP="0087265A">
      <w:pPr>
        <w:tabs>
          <w:tab w:val="left" w:pos="8278"/>
        </w:tabs>
        <w:rPr>
          <w:b/>
          <w:bCs/>
        </w:rPr>
      </w:pPr>
    </w:p>
    <w:p w14:paraId="7C15DB63" w14:textId="6D8E4D57" w:rsidR="00A95CBC" w:rsidRDefault="00A95CBC" w:rsidP="0087265A">
      <w:pPr>
        <w:tabs>
          <w:tab w:val="left" w:pos="8278"/>
        </w:tabs>
        <w:rPr>
          <w:b/>
          <w:bCs/>
        </w:rPr>
      </w:pPr>
    </w:p>
    <w:p w14:paraId="0739F46D" w14:textId="5562A9C7" w:rsidR="00A95CBC" w:rsidRDefault="00A95CBC" w:rsidP="0087265A">
      <w:pPr>
        <w:tabs>
          <w:tab w:val="left" w:pos="8278"/>
        </w:tabs>
        <w:rPr>
          <w:b/>
          <w:bCs/>
        </w:rPr>
      </w:pPr>
    </w:p>
    <w:p w14:paraId="45180944" w14:textId="4628449A" w:rsidR="00A95CBC" w:rsidRDefault="00A95CBC" w:rsidP="0087265A">
      <w:pPr>
        <w:tabs>
          <w:tab w:val="left" w:pos="8278"/>
        </w:tabs>
        <w:rPr>
          <w:b/>
          <w:bCs/>
        </w:rPr>
      </w:pPr>
    </w:p>
    <w:p w14:paraId="11DCAC0D" w14:textId="59C13BF9" w:rsidR="00A95CBC" w:rsidRDefault="00A95CBC" w:rsidP="0087265A">
      <w:pPr>
        <w:tabs>
          <w:tab w:val="left" w:pos="8278"/>
        </w:tabs>
        <w:rPr>
          <w:b/>
          <w:bCs/>
        </w:rPr>
      </w:pPr>
    </w:p>
    <w:p w14:paraId="6526A3B6" w14:textId="1663584F" w:rsidR="00A95CBC" w:rsidRDefault="00A95CBC" w:rsidP="0087265A">
      <w:pPr>
        <w:tabs>
          <w:tab w:val="left" w:pos="8278"/>
        </w:tabs>
        <w:rPr>
          <w:b/>
          <w:bCs/>
        </w:rPr>
      </w:pPr>
    </w:p>
    <w:p w14:paraId="7C3F8458" w14:textId="2BC52645" w:rsidR="00A95CBC" w:rsidRDefault="00A95CBC" w:rsidP="0087265A">
      <w:pPr>
        <w:tabs>
          <w:tab w:val="left" w:pos="8278"/>
        </w:tabs>
        <w:rPr>
          <w:b/>
          <w:bCs/>
        </w:rPr>
      </w:pPr>
    </w:p>
    <w:p w14:paraId="4559FA1C" w14:textId="27DCE43B" w:rsidR="00A95CBC" w:rsidRDefault="00A95CBC" w:rsidP="0087265A">
      <w:pPr>
        <w:tabs>
          <w:tab w:val="left" w:pos="8278"/>
        </w:tabs>
        <w:rPr>
          <w:b/>
          <w:bCs/>
        </w:rPr>
      </w:pPr>
    </w:p>
    <w:p w14:paraId="602C8007" w14:textId="26386928" w:rsidR="00A95CBC" w:rsidRDefault="00A95CBC" w:rsidP="0087265A">
      <w:pPr>
        <w:tabs>
          <w:tab w:val="left" w:pos="8278"/>
        </w:tabs>
        <w:rPr>
          <w:b/>
          <w:bCs/>
        </w:rPr>
      </w:pPr>
    </w:p>
    <w:p w14:paraId="5D26EA7D" w14:textId="77777777" w:rsidR="00A95CBC" w:rsidRDefault="00A95CBC" w:rsidP="0087265A">
      <w:pPr>
        <w:tabs>
          <w:tab w:val="left" w:pos="8278"/>
        </w:tabs>
        <w:rPr>
          <w:b/>
          <w:bCs/>
        </w:rPr>
      </w:pPr>
    </w:p>
    <w:p w14:paraId="56237166" w14:textId="29F8C0BB" w:rsidR="00A95CBC" w:rsidRDefault="00A95CBC" w:rsidP="0087265A">
      <w:pPr>
        <w:tabs>
          <w:tab w:val="left" w:pos="8278"/>
        </w:tabs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noProof/>
        </w:rPr>
        <w:drawing>
          <wp:inline distT="0" distB="0" distL="0" distR="0" wp14:anchorId="25AEB818" wp14:editId="61023612">
            <wp:extent cx="6254945" cy="150960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945" cy="15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99B4" w14:textId="77777777" w:rsidR="00A95CBC" w:rsidRDefault="00A95CBC" w:rsidP="0087265A">
      <w:pPr>
        <w:tabs>
          <w:tab w:val="left" w:pos="8278"/>
        </w:tabs>
        <w:rPr>
          <w:b/>
          <w:bCs/>
        </w:rPr>
      </w:pPr>
    </w:p>
    <w:p w14:paraId="3F29B98B" w14:textId="6C9B68D2" w:rsidR="00A95CBC" w:rsidRDefault="00A95CBC" w:rsidP="0087265A">
      <w:pPr>
        <w:tabs>
          <w:tab w:val="left" w:pos="8278"/>
        </w:tabs>
      </w:pPr>
      <w:r>
        <w:rPr>
          <w:noProof/>
        </w:rPr>
        <w:drawing>
          <wp:inline distT="0" distB="0" distL="0" distR="0" wp14:anchorId="166D2770" wp14:editId="0E8FB226">
            <wp:extent cx="6254750" cy="1504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17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658" w14:textId="77777777" w:rsidR="00A95CBC" w:rsidRDefault="00A95CBC" w:rsidP="0087265A">
      <w:pPr>
        <w:tabs>
          <w:tab w:val="left" w:pos="8278"/>
        </w:tabs>
      </w:pPr>
    </w:p>
    <w:p w14:paraId="1DA22ED4" w14:textId="21E6B29F" w:rsidR="00A95CBC" w:rsidRDefault="00A95CBC" w:rsidP="0087265A">
      <w:pPr>
        <w:tabs>
          <w:tab w:val="left" w:pos="8278"/>
        </w:tabs>
      </w:pPr>
      <w:r>
        <w:rPr>
          <w:noProof/>
        </w:rPr>
        <w:drawing>
          <wp:inline distT="0" distB="0" distL="0" distR="0" wp14:anchorId="2A5F488B" wp14:editId="07088322">
            <wp:extent cx="6254750" cy="173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42" cy="17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4221" w14:textId="77777777" w:rsidR="00A95CBC" w:rsidRPr="0087265A" w:rsidRDefault="00A95CBC" w:rsidP="0087265A">
      <w:pPr>
        <w:tabs>
          <w:tab w:val="left" w:pos="8278"/>
        </w:tabs>
      </w:pPr>
    </w:p>
    <w:sectPr w:rsidR="00A95CBC" w:rsidRPr="0087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7C42"/>
    <w:multiLevelType w:val="hybridMultilevel"/>
    <w:tmpl w:val="916C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316DD"/>
    <w:multiLevelType w:val="hybridMultilevel"/>
    <w:tmpl w:val="A5B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5259">
    <w:abstractNumId w:val="1"/>
  </w:num>
  <w:num w:numId="2" w16cid:durableId="15009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A"/>
    <w:rsid w:val="00011349"/>
    <w:rsid w:val="000B7B62"/>
    <w:rsid w:val="00185BED"/>
    <w:rsid w:val="001B4075"/>
    <w:rsid w:val="00222F23"/>
    <w:rsid w:val="0043585B"/>
    <w:rsid w:val="00450774"/>
    <w:rsid w:val="004C5922"/>
    <w:rsid w:val="00512357"/>
    <w:rsid w:val="00542CEE"/>
    <w:rsid w:val="00665A2D"/>
    <w:rsid w:val="00693F86"/>
    <w:rsid w:val="00695850"/>
    <w:rsid w:val="00865463"/>
    <w:rsid w:val="0087265A"/>
    <w:rsid w:val="00903D84"/>
    <w:rsid w:val="009B150C"/>
    <w:rsid w:val="009B1A32"/>
    <w:rsid w:val="009D3867"/>
    <w:rsid w:val="00A01723"/>
    <w:rsid w:val="00A84D2C"/>
    <w:rsid w:val="00A95CBC"/>
    <w:rsid w:val="00AB14DE"/>
    <w:rsid w:val="00B65416"/>
    <w:rsid w:val="00C408E8"/>
    <w:rsid w:val="00C56134"/>
    <w:rsid w:val="00D30075"/>
    <w:rsid w:val="00EA66B9"/>
    <w:rsid w:val="00EC7A9D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4F1F"/>
  <w15:chartTrackingRefBased/>
  <w15:docId w15:val="{C27F1B66-A7DD-8545-B94F-5ACDCF6A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A66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Jennifer H. (Fed)</dc:creator>
  <cp:keywords/>
  <dc:description/>
  <cp:lastModifiedBy>McDaniel, Jennifer H. (Fed)</cp:lastModifiedBy>
  <cp:revision>18</cp:revision>
  <dcterms:created xsi:type="dcterms:W3CDTF">2022-06-23T20:05:00Z</dcterms:created>
  <dcterms:modified xsi:type="dcterms:W3CDTF">2022-07-08T14:41:00Z</dcterms:modified>
</cp:coreProperties>
</file>