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-374324</wp:posOffset>
            </wp:positionH>
            <wp:positionV relativeFrom="paragraph">
              <wp:posOffset>114300</wp:posOffset>
            </wp:positionV>
            <wp:extent cx="6219825" cy="5990332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355" l="4817" r="5315" t="3645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59903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00" w:line="4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480" w:lineRule="auto"/>
        <w:jc w:val="both"/>
        <w:rPr/>
      </w:pPr>
      <w:r w:rsidDel="00000000" w:rsidR="00000000" w:rsidRPr="00000000">
        <w:rPr>
          <w:rtl w:val="0"/>
        </w:rPr>
        <w:t xml:space="preserve">S1 Figure. A graph of incompatible quads. The incompatibility is caused by a conflict between the original MGI barcodes and generated 96 quads. An edge connects combinations with less than 4 mismatches.</w:t>
      </w:r>
    </w:p>
    <w:p w:rsidR="00000000" w:rsidDel="00000000" w:rsidP="00000000" w:rsidRDefault="00000000" w:rsidRPr="00000000" w14:paraId="00000004">
      <w:pPr>
        <w:spacing w:after="200" w:line="48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