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22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="48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S2 Figure. An </w:t>
      </w:r>
      <w:r w:rsidDel="00000000" w:rsidR="00000000" w:rsidRPr="00000000">
        <w:rPr>
          <w:sz w:val="20"/>
          <w:szCs w:val="20"/>
          <w:rtl w:val="0"/>
        </w:rPr>
        <w:t xml:space="preserve">adjacency matrix based on the graph of incompatible quads. Incompatible quads are shown as 0 (contain barcodes with less than 4 mismatches), compatible </w:t>
      </w:r>
      <w:r w:rsidDel="00000000" w:rsidR="00000000" w:rsidRPr="00000000">
        <w:rPr>
          <w:sz w:val="20"/>
          <w:szCs w:val="20"/>
          <w:rtl w:val="0"/>
        </w:rPr>
        <w:t xml:space="preserve">quads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as 1(all pairs with mismatches ≥4).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