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FCB" w:rsidRDefault="00144FCB" w:rsidP="00144FCB">
      <w:pPr>
        <w:spacing w:after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Annotation and filtering </w:t>
      </w:r>
      <w:r w:rsidRPr="005D2951">
        <w:rPr>
          <w:b/>
          <w:bCs/>
          <w:sz w:val="32"/>
          <w:szCs w:val="32"/>
        </w:rPr>
        <w:t>workshop</w:t>
      </w:r>
      <w:r>
        <w:rPr>
          <w:b/>
          <w:bCs/>
          <w:sz w:val="32"/>
          <w:szCs w:val="32"/>
        </w:rPr>
        <w:t>: question sheet</w:t>
      </w:r>
    </w:p>
    <w:p w:rsidR="00144FCB" w:rsidRDefault="00144FCB" w:rsidP="00144FCB">
      <w:pPr>
        <w:spacing w:after="0" w:line="240" w:lineRule="auto"/>
        <w:jc w:val="both"/>
        <w:rPr>
          <w:b/>
          <w:bCs/>
        </w:rPr>
      </w:pPr>
    </w:p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590"/>
        <w:gridCol w:w="3516"/>
        <w:gridCol w:w="1276"/>
        <w:gridCol w:w="2835"/>
        <w:gridCol w:w="1455"/>
      </w:tblGrid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  <w:r>
              <w:t xml:space="preserve">From the ANNOVAR log file, how many </w:t>
            </w:r>
            <w:proofErr w:type="spellStart"/>
            <w:r>
              <w:t>refGene</w:t>
            </w:r>
            <w:proofErr w:type="spellEnd"/>
            <w:r>
              <w:t xml:space="preserve"> transcripts </w:t>
            </w:r>
            <w:proofErr w:type="gramStart"/>
            <w:r>
              <w:t>were used</w:t>
            </w:r>
            <w:proofErr w:type="gramEnd"/>
            <w:r>
              <w:t xml:space="preserve"> for annotation?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rPr>
          <w:trHeight w:val="208"/>
        </w:trPr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Q2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  <w:r>
              <w:t>Is there anything else that would be useful for annotation?</w:t>
            </w:r>
          </w:p>
        </w:tc>
      </w:tr>
      <w:tr w:rsidR="00092170" w:rsidTr="002018EB">
        <w:trPr>
          <w:trHeight w:val="276"/>
        </w:trPr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Q3</w:t>
            </w:r>
          </w:p>
        </w:tc>
        <w:tc>
          <w:tcPr>
            <w:tcW w:w="9082" w:type="dxa"/>
            <w:gridSpan w:val="4"/>
          </w:tcPr>
          <w:p w:rsidR="00092170" w:rsidRDefault="00092170" w:rsidP="00A651B2">
            <w:r>
              <w:t>Which variant is the most likely to cause the patients disease?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Q4</w:t>
            </w:r>
          </w:p>
        </w:tc>
        <w:tc>
          <w:tcPr>
            <w:tcW w:w="9082" w:type="dxa"/>
            <w:gridSpan w:val="4"/>
          </w:tcPr>
          <w:p w:rsidR="00092170" w:rsidRDefault="005A2B73" w:rsidP="005A2B73">
            <w:r>
              <w:t xml:space="preserve">For the causal variant, use Unified </w:t>
            </w:r>
            <w:proofErr w:type="spellStart"/>
            <w:r>
              <w:t>Genotyper</w:t>
            </w:r>
            <w:proofErr w:type="spellEnd"/>
            <w:r>
              <w:t xml:space="preserve"> VCF and information from the variant calling lecture to populate the list quality control parameters and categorise the value of each as either good, intermediate or poor  </w:t>
            </w:r>
          </w:p>
        </w:tc>
      </w:tr>
      <w:tr w:rsidR="005A2B73" w:rsidTr="002018EB">
        <w:trPr>
          <w:trHeight w:val="251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Quality control parameter</w:t>
            </w:r>
          </w:p>
        </w:tc>
        <w:tc>
          <w:tcPr>
            <w:tcW w:w="1276" w:type="dxa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Value</w:t>
            </w:r>
          </w:p>
        </w:tc>
        <w:tc>
          <w:tcPr>
            <w:tcW w:w="4290" w:type="dxa"/>
            <w:gridSpan w:val="2"/>
          </w:tcPr>
          <w:p w:rsidR="005A2B73" w:rsidRPr="00DD02C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Depth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Allelic depth (AD)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Strand bias (FS)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Variant confidence (QUAL)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Quality by depth (QD)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Mapping quality (MQ)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Mapping quality bias (</w:t>
            </w:r>
            <w:proofErr w:type="spellStart"/>
            <w:r>
              <w:t>MQRankSum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5A2B73" w:rsidTr="002018EB">
        <w:trPr>
          <w:trHeight w:val="33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3516" w:type="dxa"/>
          </w:tcPr>
          <w:p w:rsidR="005A2B73" w:rsidRDefault="005A2B73" w:rsidP="005A2B73">
            <w:pPr>
              <w:jc w:val="both"/>
            </w:pPr>
            <w:r>
              <w:t>Base quality bias (</w:t>
            </w:r>
            <w:proofErr w:type="spellStart"/>
            <w:r>
              <w:t>BaseQRankSum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5A2B73" w:rsidRDefault="005A2B73" w:rsidP="005A2B73">
            <w:pPr>
              <w:jc w:val="both"/>
            </w:pPr>
          </w:p>
        </w:tc>
        <w:tc>
          <w:tcPr>
            <w:tcW w:w="4290" w:type="dxa"/>
            <w:gridSpan w:val="2"/>
          </w:tcPr>
          <w:p w:rsidR="005A2B73" w:rsidRDefault="005A2B73" w:rsidP="005A2B73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Q5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>
              <w:t xml:space="preserve">Is your </w:t>
            </w:r>
            <w:r w:rsidRPr="003F2F1F">
              <w:t xml:space="preserve">variant </w:t>
            </w:r>
            <w:r>
              <w:t xml:space="preserve">present </w:t>
            </w:r>
            <w:r w:rsidRPr="003F2F1F">
              <w:t>i</w:t>
            </w:r>
            <w:r>
              <w:t xml:space="preserve">n </w:t>
            </w:r>
            <w:hyperlink r:id="rId4" w:history="1">
              <w:proofErr w:type="spellStart"/>
              <w:r w:rsidRPr="00BE1322">
                <w:rPr>
                  <w:rStyle w:val="Hyperlink"/>
                </w:rPr>
                <w:t>ClinVar</w:t>
              </w:r>
              <w:proofErr w:type="spellEnd"/>
            </w:hyperlink>
            <w:r>
              <w:t xml:space="preserve"> and </w:t>
            </w:r>
            <w:hyperlink r:id="rId5" w:history="1">
              <w:r w:rsidRPr="003F2F1F">
                <w:rPr>
                  <w:rStyle w:val="Hyperlink"/>
                </w:rPr>
                <w:t>OMIM</w:t>
              </w:r>
            </w:hyperlink>
            <w:r>
              <w:t xml:space="preserve"> and if it is does the expected phenotype match your patient?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Q6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proofErr w:type="gramStart"/>
            <w:r>
              <w:t>Has your variant been published</w:t>
            </w:r>
            <w:proofErr w:type="gramEnd"/>
            <w:r>
              <w:t xml:space="preserve"> and if so what is the citation?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Q7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 w:rsidRPr="003F2F1F">
              <w:t>Look up the function o</w:t>
            </w:r>
            <w:r>
              <w:t xml:space="preserve">f your gene.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hyperlink r:id="rId6" w:history="1">
              <w:proofErr w:type="spellStart"/>
              <w:r w:rsidRPr="003F2F1F">
                <w:rPr>
                  <w:rStyle w:val="Hyperlink"/>
                </w:rPr>
                <w:t>GeneCards</w:t>
              </w:r>
              <w:proofErr w:type="spellEnd"/>
            </w:hyperlink>
            <w:r w:rsidRPr="003F2F1F">
              <w:t xml:space="preserve">. What </w:t>
            </w:r>
            <w:proofErr w:type="gramStart"/>
            <w:r w:rsidRPr="003F2F1F">
              <w:t>is known</w:t>
            </w:r>
            <w:proofErr w:type="gramEnd"/>
            <w:r w:rsidRPr="003F2F1F">
              <w:t xml:space="preserve"> about it?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092170" w:rsidTr="002018EB"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Q8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r w:rsidRPr="00162FD6">
              <w:t>If the variant is real, what</w:t>
            </w:r>
            <w:r>
              <w:t xml:space="preserve"> disease do you think the patient may have?</w:t>
            </w:r>
          </w:p>
        </w:tc>
      </w:tr>
      <w:tr w:rsidR="00092170" w:rsidTr="002018EB"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  <w:tr w:rsidR="005A2B73" w:rsidTr="002018EB">
        <w:tc>
          <w:tcPr>
            <w:tcW w:w="590" w:type="dxa"/>
            <w:vMerge w:val="restart"/>
            <w:vAlign w:val="center"/>
          </w:tcPr>
          <w:p w:rsidR="005A2B73" w:rsidRPr="00FE159C" w:rsidRDefault="005A2B73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Q9</w:t>
            </w:r>
          </w:p>
        </w:tc>
        <w:tc>
          <w:tcPr>
            <w:tcW w:w="9082" w:type="dxa"/>
            <w:gridSpan w:val="4"/>
          </w:tcPr>
          <w:p w:rsidR="005A2B73" w:rsidRDefault="005A2B73" w:rsidP="00A651B2">
            <w:pPr>
              <w:jc w:val="both"/>
            </w:pPr>
            <w:r>
              <w:t xml:space="preserve">Repeat the filtering process to determine the number of variants that remain after each of the filters in the table is applied.   </w:t>
            </w:r>
          </w:p>
        </w:tc>
      </w:tr>
      <w:tr w:rsidR="005A2B73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Filtering criteria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No. variants</w:t>
            </w: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r>
              <w:t>None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  <w:r>
              <w:t xml:space="preserve"> and absent from public databases (</w:t>
            </w:r>
            <w:proofErr w:type="spellStart"/>
            <w:r>
              <w:t>dbSNP</w:t>
            </w:r>
            <w:proofErr w:type="spellEnd"/>
            <w:r>
              <w:t xml:space="preserve"> non flagged, 1000 genomes, ESP)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5A2B73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5A2B73" w:rsidRPr="00FE159C" w:rsidRDefault="005A2B73" w:rsidP="005A2B73">
            <w:pPr>
              <w:jc w:val="center"/>
              <w:rPr>
                <w:b/>
                <w:bCs/>
              </w:rPr>
            </w:pPr>
          </w:p>
        </w:tc>
        <w:tc>
          <w:tcPr>
            <w:tcW w:w="7627" w:type="dxa"/>
            <w:gridSpan w:val="3"/>
          </w:tcPr>
          <w:p w:rsidR="005A2B73" w:rsidRPr="00803CC1" w:rsidRDefault="005A2B73" w:rsidP="005A2B73">
            <w:pPr>
              <w:jc w:val="both"/>
            </w:pPr>
            <w:proofErr w:type="spellStart"/>
            <w:r>
              <w:t>Exonic</w:t>
            </w:r>
            <w:proofErr w:type="spellEnd"/>
            <w:r>
              <w:t xml:space="preserve">, absent from public databases and located in a candidate gene </w:t>
            </w:r>
          </w:p>
        </w:tc>
        <w:tc>
          <w:tcPr>
            <w:tcW w:w="1455" w:type="dxa"/>
          </w:tcPr>
          <w:p w:rsidR="005A2B73" w:rsidRDefault="005A2B73" w:rsidP="005A2B73">
            <w:pPr>
              <w:jc w:val="both"/>
              <w:rPr>
                <w:b/>
                <w:bCs/>
              </w:rPr>
            </w:pPr>
          </w:p>
        </w:tc>
      </w:tr>
      <w:tr w:rsidR="00092170" w:rsidTr="002018EB">
        <w:trPr>
          <w:trHeight w:val="184"/>
        </w:trPr>
        <w:tc>
          <w:tcPr>
            <w:tcW w:w="590" w:type="dxa"/>
            <w:vMerge w:val="restart"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  <w:r w:rsidRPr="00FE159C">
              <w:rPr>
                <w:b/>
                <w:bCs/>
              </w:rPr>
              <w:t>Q10</w:t>
            </w:r>
          </w:p>
        </w:tc>
        <w:tc>
          <w:tcPr>
            <w:tcW w:w="9082" w:type="dxa"/>
            <w:gridSpan w:val="4"/>
          </w:tcPr>
          <w:p w:rsidR="00092170" w:rsidRDefault="005A2B73" w:rsidP="00A651B2">
            <w:pPr>
              <w:jc w:val="both"/>
            </w:pPr>
            <w:r w:rsidRPr="00652857">
              <w:t>How many</w:t>
            </w:r>
            <w:r>
              <w:rPr>
                <w:b/>
                <w:bCs/>
              </w:rPr>
              <w:t xml:space="preserve"> </w:t>
            </w:r>
            <w:r w:rsidRPr="00652857">
              <w:t xml:space="preserve">variants </w:t>
            </w:r>
            <w:proofErr w:type="gramStart"/>
            <w:r w:rsidRPr="00652857">
              <w:t>are flagged</w:t>
            </w:r>
            <w:proofErr w:type="gramEnd"/>
            <w:r w:rsidRPr="00652857">
              <w:t xml:space="preserve"> by </w:t>
            </w:r>
            <w:proofErr w:type="spellStart"/>
            <w:r w:rsidRPr="00652857">
              <w:t>dbSNP</w:t>
            </w:r>
            <w:proofErr w:type="spellEnd"/>
            <w:r w:rsidRPr="00652857">
              <w:t xml:space="preserve"> as clinically associated?</w:t>
            </w:r>
          </w:p>
        </w:tc>
      </w:tr>
      <w:tr w:rsidR="00092170" w:rsidTr="002018EB">
        <w:trPr>
          <w:trHeight w:val="235"/>
        </w:trPr>
        <w:tc>
          <w:tcPr>
            <w:tcW w:w="590" w:type="dxa"/>
            <w:vMerge/>
            <w:vAlign w:val="center"/>
          </w:tcPr>
          <w:p w:rsidR="00092170" w:rsidRPr="00FE159C" w:rsidRDefault="00092170" w:rsidP="00A651B2">
            <w:pPr>
              <w:jc w:val="center"/>
              <w:rPr>
                <w:b/>
                <w:bCs/>
              </w:rPr>
            </w:pPr>
          </w:p>
        </w:tc>
        <w:tc>
          <w:tcPr>
            <w:tcW w:w="9082" w:type="dxa"/>
            <w:gridSpan w:val="4"/>
          </w:tcPr>
          <w:p w:rsidR="00092170" w:rsidRDefault="00092170" w:rsidP="00A651B2">
            <w:pPr>
              <w:jc w:val="both"/>
            </w:pPr>
          </w:p>
        </w:tc>
      </w:tr>
    </w:tbl>
    <w:p w:rsidR="002018EB" w:rsidRDefault="002018EB"/>
    <w:p w:rsidR="002018EB" w:rsidRDefault="002018EB"/>
    <w:p w:rsidR="002018EB" w:rsidRDefault="002018EB">
      <w:r>
        <w:t xml:space="preserve">Turn over for last </w:t>
      </w:r>
      <w:r w:rsidR="005B3990">
        <w:t xml:space="preserve">two </w:t>
      </w:r>
      <w:r>
        <w:t>question</w:t>
      </w:r>
      <w:r w:rsidR="005B3990">
        <w:t>s</w:t>
      </w:r>
    </w:p>
    <w:p w:rsidR="002018EB" w:rsidRDefault="002018EB"/>
    <w:p w:rsidR="002018EB" w:rsidRDefault="002018EB"/>
    <w:p w:rsidR="005B3990" w:rsidRDefault="005B3990"/>
    <w:p w:rsidR="002018EB" w:rsidRDefault="002018E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90"/>
        <w:gridCol w:w="2108"/>
        <w:gridCol w:w="1033"/>
        <w:gridCol w:w="5903"/>
      </w:tblGrid>
      <w:tr w:rsidR="002018EB" w:rsidTr="002018EB">
        <w:trPr>
          <w:trHeight w:val="276"/>
        </w:trPr>
        <w:tc>
          <w:tcPr>
            <w:tcW w:w="590" w:type="dxa"/>
            <w:vMerge w:val="restart"/>
            <w:vAlign w:val="center"/>
          </w:tcPr>
          <w:p w:rsidR="002018EB" w:rsidRPr="00FE159C" w:rsidRDefault="005B3990" w:rsidP="00A65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Q11</w:t>
            </w:r>
          </w:p>
        </w:tc>
        <w:tc>
          <w:tcPr>
            <w:tcW w:w="9044" w:type="dxa"/>
            <w:gridSpan w:val="3"/>
          </w:tcPr>
          <w:p w:rsidR="002018EB" w:rsidRDefault="002018EB" w:rsidP="00A651B2">
            <w:pPr>
              <w:jc w:val="both"/>
            </w:pPr>
            <w:r>
              <w:t xml:space="preserve">For the causal variant you have chosen, use the result from </w:t>
            </w:r>
            <w:proofErr w:type="spellStart"/>
            <w:r>
              <w:t>wANNOVAR</w:t>
            </w:r>
            <w:proofErr w:type="spellEnd"/>
            <w:r>
              <w:t xml:space="preserve"> to populate the list of pathogenicity predictors and select a category for each value.</w:t>
            </w:r>
          </w:p>
        </w:tc>
      </w:tr>
      <w:tr w:rsidR="002018EB" w:rsidTr="002018EB">
        <w:trPr>
          <w:trHeight w:val="24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Pathogenicity predictor</w:t>
            </w:r>
          </w:p>
        </w:tc>
        <w:tc>
          <w:tcPr>
            <w:tcW w:w="1033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 w:rsidRPr="00DD02C3">
              <w:rPr>
                <w:b/>
                <w:bCs/>
              </w:rPr>
              <w:t>Value</w:t>
            </w:r>
          </w:p>
        </w:tc>
        <w:tc>
          <w:tcPr>
            <w:tcW w:w="5903" w:type="dxa"/>
          </w:tcPr>
          <w:p w:rsidR="002018EB" w:rsidRPr="00DD02C3" w:rsidRDefault="002018EB" w:rsidP="002018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7" w:history="1">
              <w:r w:rsidR="002018EB" w:rsidRPr="00E570FD">
                <w:rPr>
                  <w:rStyle w:val="Hyperlink"/>
                </w:rPr>
                <w:t>SIFT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8" w:history="1">
              <w:r w:rsidR="002018EB" w:rsidRPr="00FE2DF3">
                <w:rPr>
                  <w:rStyle w:val="Hyperlink"/>
                </w:rPr>
                <w:t>Polyphen-2 HDIV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Probably damaging/Possible damaging/Benign/Missing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2018EB" w:rsidP="002018EB">
            <w:pPr>
              <w:jc w:val="both"/>
            </w:pPr>
            <w:r>
              <w:t>Polyphen-2 HVAR</w:t>
            </w:r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Probably damaging/Possible damaging/Benign/Missing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9" w:history="1">
              <w:r w:rsidR="002018EB" w:rsidRPr="00FE2DF3">
                <w:rPr>
                  <w:rStyle w:val="Hyperlink"/>
                </w:rPr>
                <w:t>LRT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Deleterious/Neutral/Unknown/Missing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0" w:history="1">
              <w:r w:rsidR="002018EB" w:rsidRPr="00E37D2D">
                <w:rPr>
                  <w:rStyle w:val="Hyperlink"/>
                </w:rPr>
                <w:t>Mutation Taster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proofErr w:type="spellStart"/>
            <w:r>
              <w:t>Disease_causing_automatic</w:t>
            </w:r>
            <w:proofErr w:type="spellEnd"/>
            <w:r>
              <w:t>/</w:t>
            </w:r>
            <w:proofErr w:type="spellStart"/>
            <w:r>
              <w:t>Disease_causing</w:t>
            </w:r>
            <w:proofErr w:type="spellEnd"/>
            <w:r>
              <w:t xml:space="preserve">/Polymorphism/ </w:t>
            </w:r>
            <w:proofErr w:type="spellStart"/>
            <w:r>
              <w:t>Polymorphism_automatic</w:t>
            </w:r>
            <w:proofErr w:type="spellEnd"/>
            <w:r>
              <w:t>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1" w:history="1">
              <w:r w:rsidR="002018EB" w:rsidRPr="00E37D2D">
                <w:rPr>
                  <w:rStyle w:val="Hyperlink"/>
                </w:rPr>
                <w:t>Mutation Assessor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P</w:t>
            </w:r>
            <w:r w:rsidRPr="00E37D2D">
              <w:t>redic</w:t>
            </w:r>
            <w:r>
              <w:t>ted functional (high, medium)/P</w:t>
            </w:r>
            <w:r w:rsidRPr="00E37D2D">
              <w:t>redicted non-functional (low, neutral)</w:t>
            </w:r>
            <w:r>
              <w:t>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2" w:history="1">
              <w:r w:rsidR="002018EB" w:rsidRPr="00D84E2E">
                <w:rPr>
                  <w:rStyle w:val="Hyperlink"/>
                </w:rPr>
                <w:t>FATHMM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Damaging/Tolerated/Missing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3" w:history="1">
              <w:proofErr w:type="spellStart"/>
              <w:r w:rsidR="002018EB" w:rsidRPr="00D84E2E">
                <w:rPr>
                  <w:rStyle w:val="Hyperlink"/>
                </w:rPr>
                <w:t>RadialSVM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4" w:history="1">
              <w:r w:rsidR="002018EB" w:rsidRPr="00D84E2E">
                <w:rPr>
                  <w:rStyle w:val="Hyperlink"/>
                </w:rPr>
                <w:t>LR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Deleterious/Tolerated/Missing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5" w:history="1">
              <w:r w:rsidR="002018EB" w:rsidRPr="00B102DD">
                <w:rPr>
                  <w:rStyle w:val="Hyperlink"/>
                </w:rPr>
                <w:t>VEST3 score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likelihood of functional effect increase with score</w:t>
            </w:r>
          </w:p>
        </w:tc>
      </w:tr>
      <w:tr w:rsidR="002018EB" w:rsidTr="002018EB">
        <w:trPr>
          <w:trHeight w:val="21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6" w:history="1">
              <w:r w:rsidR="002018EB" w:rsidRPr="00F334E6">
                <w:rPr>
                  <w:rStyle w:val="Hyperlink"/>
                </w:rPr>
                <w:t>CADD raw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 xml:space="preserve">None, likelihood of damaging effect increase with score 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7" w:history="1">
              <w:r w:rsidR="002018EB" w:rsidRPr="00F334E6">
                <w:rPr>
                  <w:rStyle w:val="Hyperlink"/>
                </w:rPr>
                <w:t xml:space="preserve">CADD </w:t>
              </w:r>
              <w:proofErr w:type="spellStart"/>
              <w:r w:rsidR="002018EB" w:rsidRPr="00F334E6">
                <w:rPr>
                  <w:rStyle w:val="Hyperlink"/>
                </w:rPr>
                <w:t>phred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 xml:space="preserve">None, ranked and </w:t>
            </w:r>
            <w:proofErr w:type="spellStart"/>
            <w:r>
              <w:t>phred</w:t>
            </w:r>
            <w:proofErr w:type="spellEnd"/>
            <w:r>
              <w:t xml:space="preserve"> scaled</w:t>
            </w:r>
            <w:bookmarkStart w:id="0" w:name="_GoBack"/>
            <w:bookmarkEnd w:id="0"/>
            <w:r>
              <w:t xml:space="preserve"> CADD score 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Default="005B3990" w:rsidP="002018EB">
            <w:pPr>
              <w:jc w:val="both"/>
            </w:pPr>
            <w:hyperlink r:id="rId18" w:history="1">
              <w:r w:rsidR="002018EB" w:rsidRPr="0082743E">
                <w:rPr>
                  <w:rStyle w:val="Hyperlink"/>
                </w:rPr>
                <w:t>GERP++RS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conservation increases with score (</w:t>
            </w:r>
            <w:r w:rsidRPr="00F334E6">
              <w:t>range</w:t>
            </w:r>
            <w:r>
              <w:t xml:space="preserve"> -12.3 to 6.17). Scores &gt;2, </w:t>
            </w:r>
            <w:r w:rsidRPr="00F334E6">
              <w:t>high sensitivi</w:t>
            </w:r>
            <w:r>
              <w:t>ty for truly constrained sites</w:t>
            </w:r>
          </w:p>
        </w:tc>
      </w:tr>
      <w:tr w:rsidR="002018EB" w:rsidTr="002018EB">
        <w:trPr>
          <w:trHeight w:val="66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B1931" w:rsidRDefault="005B3990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19" w:history="1">
              <w:r w:rsidR="002018EB" w:rsidRPr="003B1931">
                <w:rPr>
                  <w:rStyle w:val="Hyperlink"/>
                  <w:rFonts w:ascii="Calibri" w:hAnsi="Calibri"/>
                </w:rPr>
                <w:t>phyloP46way placental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t</w:t>
            </w:r>
            <w:r w:rsidRPr="00CD76E8">
              <w:t>he larger the sco</w:t>
            </w:r>
            <w:r>
              <w:t>re, the more conserved the site</w:t>
            </w:r>
          </w:p>
        </w:tc>
      </w:tr>
      <w:tr w:rsidR="002018EB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3134D" w:rsidRDefault="005B3990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20" w:history="1">
              <w:r w:rsidR="002018EB" w:rsidRPr="0033134D">
                <w:rPr>
                  <w:rStyle w:val="Hyperlink"/>
                  <w:rFonts w:ascii="Calibri" w:hAnsi="Calibri"/>
                </w:rPr>
                <w:t>phyloP100way vertebrate</w:t>
              </w:r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>
              <w:t>None, t</w:t>
            </w:r>
            <w:r w:rsidRPr="00CD76E8">
              <w:t>he larger the sco</w:t>
            </w:r>
            <w:r>
              <w:t>re, the more conserved the site</w:t>
            </w:r>
          </w:p>
        </w:tc>
      </w:tr>
      <w:tr w:rsidR="002018EB" w:rsidTr="002018EB">
        <w:trPr>
          <w:trHeight w:val="132"/>
        </w:trPr>
        <w:tc>
          <w:tcPr>
            <w:tcW w:w="590" w:type="dxa"/>
            <w:vMerge/>
            <w:vAlign w:val="center"/>
          </w:tcPr>
          <w:p w:rsidR="002018EB" w:rsidRPr="00FE159C" w:rsidRDefault="002018EB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2108" w:type="dxa"/>
          </w:tcPr>
          <w:p w:rsidR="002018EB" w:rsidRPr="0033134D" w:rsidRDefault="005B3990" w:rsidP="002018EB">
            <w:pPr>
              <w:jc w:val="both"/>
              <w:rPr>
                <w:rFonts w:ascii="Calibri" w:hAnsi="Calibri"/>
                <w:color w:val="0563C1"/>
                <w:u w:val="single"/>
              </w:rPr>
            </w:pPr>
            <w:hyperlink r:id="rId21" w:history="1">
              <w:proofErr w:type="spellStart"/>
              <w:r w:rsidR="002018EB" w:rsidRPr="0033134D">
                <w:rPr>
                  <w:rStyle w:val="Hyperlink"/>
                  <w:rFonts w:ascii="Calibri" w:hAnsi="Calibri"/>
                </w:rPr>
                <w:t>SiPhy</w:t>
              </w:r>
              <w:proofErr w:type="spellEnd"/>
              <w:r w:rsidR="002018EB" w:rsidRPr="0033134D">
                <w:rPr>
                  <w:rStyle w:val="Hyperlink"/>
                  <w:rFonts w:ascii="Calibri" w:hAnsi="Calibri"/>
                </w:rPr>
                <w:t xml:space="preserve"> 29way </w:t>
              </w:r>
              <w:proofErr w:type="spellStart"/>
              <w:r w:rsidR="002018EB" w:rsidRPr="0033134D">
                <w:rPr>
                  <w:rStyle w:val="Hyperlink"/>
                  <w:rFonts w:ascii="Calibri" w:hAnsi="Calibri"/>
                </w:rPr>
                <w:t>logOdds</w:t>
              </w:r>
              <w:proofErr w:type="spellEnd"/>
            </w:hyperlink>
          </w:p>
        </w:tc>
        <w:tc>
          <w:tcPr>
            <w:tcW w:w="1033" w:type="dxa"/>
          </w:tcPr>
          <w:p w:rsidR="002018EB" w:rsidRDefault="002018EB" w:rsidP="002018EB">
            <w:pPr>
              <w:jc w:val="both"/>
            </w:pPr>
          </w:p>
        </w:tc>
        <w:tc>
          <w:tcPr>
            <w:tcW w:w="5903" w:type="dxa"/>
          </w:tcPr>
          <w:p w:rsidR="002018EB" w:rsidRDefault="002018EB" w:rsidP="002018EB">
            <w:pPr>
              <w:jc w:val="both"/>
            </w:pPr>
            <w:r w:rsidRPr="00060FB4">
              <w:t>The larger the sc</w:t>
            </w:r>
            <w:r>
              <w:t>ore the more conserved the site</w:t>
            </w:r>
          </w:p>
        </w:tc>
      </w:tr>
      <w:tr w:rsidR="005B3990" w:rsidTr="00477391">
        <w:trPr>
          <w:trHeight w:val="132"/>
        </w:trPr>
        <w:tc>
          <w:tcPr>
            <w:tcW w:w="590" w:type="dxa"/>
            <w:vMerge w:val="restart"/>
            <w:vAlign w:val="center"/>
          </w:tcPr>
          <w:p w:rsidR="005B3990" w:rsidRPr="00FE159C" w:rsidRDefault="005B3990" w:rsidP="00201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Q12</w:t>
            </w:r>
          </w:p>
        </w:tc>
        <w:tc>
          <w:tcPr>
            <w:tcW w:w="9044" w:type="dxa"/>
            <w:gridSpan w:val="3"/>
          </w:tcPr>
          <w:p w:rsidR="005B3990" w:rsidRPr="00060FB4" w:rsidRDefault="005B3990" w:rsidP="002018EB">
            <w:pPr>
              <w:jc w:val="both"/>
            </w:pPr>
            <w:r>
              <w:t xml:space="preserve">Does the </w:t>
            </w:r>
            <w:proofErr w:type="spellStart"/>
            <w:r>
              <w:t>wANNOVAR</w:t>
            </w:r>
            <w:proofErr w:type="spellEnd"/>
            <w:r>
              <w:t xml:space="preserve"> filtering process prioritise the same variant?</w:t>
            </w:r>
          </w:p>
        </w:tc>
      </w:tr>
      <w:tr w:rsidR="005B3990" w:rsidTr="009B0EAC">
        <w:trPr>
          <w:trHeight w:val="132"/>
        </w:trPr>
        <w:tc>
          <w:tcPr>
            <w:tcW w:w="590" w:type="dxa"/>
            <w:vMerge/>
            <w:vAlign w:val="center"/>
          </w:tcPr>
          <w:p w:rsidR="005B3990" w:rsidRPr="00FE159C" w:rsidRDefault="005B3990" w:rsidP="002018EB">
            <w:pPr>
              <w:jc w:val="center"/>
              <w:rPr>
                <w:b/>
                <w:bCs/>
              </w:rPr>
            </w:pPr>
          </w:p>
        </w:tc>
        <w:tc>
          <w:tcPr>
            <w:tcW w:w="9044" w:type="dxa"/>
            <w:gridSpan w:val="3"/>
          </w:tcPr>
          <w:p w:rsidR="005B3990" w:rsidRPr="00060FB4" w:rsidRDefault="005B3990" w:rsidP="002018EB">
            <w:pPr>
              <w:jc w:val="both"/>
            </w:pPr>
          </w:p>
        </w:tc>
      </w:tr>
    </w:tbl>
    <w:p w:rsidR="00144FCB" w:rsidRDefault="00144FCB" w:rsidP="00144FCB">
      <w:pPr>
        <w:spacing w:after="0" w:line="240" w:lineRule="auto"/>
        <w:jc w:val="both"/>
        <w:rPr>
          <w:b/>
          <w:bCs/>
        </w:rPr>
      </w:pPr>
    </w:p>
    <w:p w:rsidR="00144FCB" w:rsidRDefault="00144FCB" w:rsidP="00144FCB"/>
    <w:sectPr w:rsidR="0014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CB"/>
    <w:rsid w:val="00092170"/>
    <w:rsid w:val="00144FCB"/>
    <w:rsid w:val="001826F9"/>
    <w:rsid w:val="002018EB"/>
    <w:rsid w:val="00312398"/>
    <w:rsid w:val="005A2B73"/>
    <w:rsid w:val="005B3990"/>
    <w:rsid w:val="00B55741"/>
    <w:rsid w:val="00F3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9440-372C-4482-8E95-B205077D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F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etics.bwh.harvard.edu/pph2/" TargetMode="External"/><Relationship Id="rId13" Type="http://schemas.openxmlformats.org/officeDocument/2006/relationships/hyperlink" Target="http://genomics.usc.edu/members/15-member-detail/36-coco-dong" TargetMode="External"/><Relationship Id="rId18" Type="http://schemas.openxmlformats.org/officeDocument/2006/relationships/hyperlink" Target="http://mendel.stanford.edu/SidowLab/downloads/ger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roadinstitute.org/genome_bio/siphy/index.html" TargetMode="External"/><Relationship Id="rId7" Type="http://schemas.openxmlformats.org/officeDocument/2006/relationships/hyperlink" Target="http://sift.jcvi.org/" TargetMode="External"/><Relationship Id="rId12" Type="http://schemas.openxmlformats.org/officeDocument/2006/relationships/hyperlink" Target="http://fathmm.biocompute.org.uk/" TargetMode="External"/><Relationship Id="rId17" Type="http://schemas.openxmlformats.org/officeDocument/2006/relationships/hyperlink" Target="http://cadd.gs.washington.edu/h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add.gs.washington.edu/home" TargetMode="External"/><Relationship Id="rId20" Type="http://schemas.openxmlformats.org/officeDocument/2006/relationships/hyperlink" Target="http://compgen.cshl.edu/phast/help-pages/phyloP.tx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enecards.org/" TargetMode="External"/><Relationship Id="rId11" Type="http://schemas.openxmlformats.org/officeDocument/2006/relationships/hyperlink" Target="http://mutationassessor.org/" TargetMode="External"/><Relationship Id="rId5" Type="http://schemas.openxmlformats.org/officeDocument/2006/relationships/hyperlink" Target="http://www.omim.org/" TargetMode="External"/><Relationship Id="rId15" Type="http://schemas.openxmlformats.org/officeDocument/2006/relationships/hyperlink" Target="http://karchinlab.org/apps/appVes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utationtaster.org/info/documentation.html" TargetMode="External"/><Relationship Id="rId19" Type="http://schemas.openxmlformats.org/officeDocument/2006/relationships/hyperlink" Target="http://compgen.cshl.edu/phast/help-pages/phyloP.txt" TargetMode="External"/><Relationship Id="rId4" Type="http://schemas.openxmlformats.org/officeDocument/2006/relationships/hyperlink" Target="http://www.ncbi.nlm.nih.gov/clinvar/" TargetMode="External"/><Relationship Id="rId9" Type="http://schemas.openxmlformats.org/officeDocument/2006/relationships/hyperlink" Target="http://www.genetics.wustl.edu/jflab/lrt_query.html" TargetMode="External"/><Relationship Id="rId14" Type="http://schemas.openxmlformats.org/officeDocument/2006/relationships/hyperlink" Target="http://genomics.usc.edu/members/15-member-detail/36-coco-do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Tapper W.J.</dc:creator>
  <cp:keywords/>
  <dc:description/>
  <cp:lastModifiedBy>Tapper W.J.</cp:lastModifiedBy>
  <cp:revision>2</cp:revision>
  <dcterms:created xsi:type="dcterms:W3CDTF">2015-12-12T11:41:00Z</dcterms:created>
  <dcterms:modified xsi:type="dcterms:W3CDTF">2017-02-17T12:16:00Z</dcterms:modified>
</cp:coreProperties>
</file>