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Mashtreewebx: browser-based phylogenetic clustering via WebAssembly</w:t>
      </w:r>
    </w:p>
    <w:p>
      <w:pPr>
        <w:spacing w:after="60"/>
        <w:jc w:val="center"/>
      </w:pPr>
      <w:r>
        <w:rPr>
          <w:rFonts w:ascii="Times New Roman" w:cs="Times New Roman" w:eastAsia="Times New Roman" w:hAnsi="Times New Roman"/>
          <w:sz w:val="24"/>
          <w:szCs w:val="24"/>
        </w:rPr>
        <w:t xml:space="preserve">Nabil-Fareed Alikhan</w:t>
      </w:r>
    </w:p>
    <w:p>
      <w:pPr>
        <w:spacing w:after="60"/>
        <w:jc w:val="center"/>
      </w:pPr>
      <w:r>
        <w:rPr>
          <w:rFonts w:ascii="Times New Roman" w:cs="Times New Roman" w:eastAsia="Times New Roman" w:hAnsi="Times New Roman"/>
          <w:i/>
          <w:iCs/>
          <w:color w:val="666666"/>
          <w:sz w:val="22"/>
          <w:szCs w:val="22"/>
        </w:rPr>
        <w:t xml:space="preserve">[Author affiliations to be completed]</w:t>
      </w:r>
    </w:p>
    <w:p>
      <w:pPr>
        <w:spacing w:after="300"/>
        <w:jc w:val="center"/>
      </w:pPr>
      <w:r>
        <w:rPr>
          <w:rFonts w:ascii="Times New Roman" w:cs="Times New Roman" w:eastAsia="Times New Roman" w:hAnsi="Times New Roman"/>
          <w:i/>
          <w:iCs/>
          <w:color w:val="666666"/>
          <w:sz w:val="22"/>
          <w:szCs w:val="22"/>
        </w:rPr>
        <w:t xml:space="preserve">*Corresponding author: [email to be added]</w:t>
      </w:r>
    </w:p>
    <w:p>
      <w:pPr>
        <w:spacing w:after="120" w:line="480"/>
      </w:pPr>
      <w:r>
        <w:rPr>
          <w:rFonts w:ascii="Times New Roman" w:cs="Times New Roman" w:eastAsia="Times New Roman" w:hAnsi="Times New Roman"/>
          <w:b/>
          <w:bCs/>
          <w:sz w:val="24"/>
          <w:szCs w:val="24"/>
        </w:rPr>
        <w:t xml:space="preserve">Summary: </w:t>
      </w:r>
      <w:r>
        <w:rPr>
          <w:rFonts w:ascii="Times New Roman" w:cs="Times New Roman" w:eastAsia="Times New Roman" w:hAnsi="Times New Roman"/>
          <w:sz w:val="24"/>
          <w:szCs w:val="24"/>
        </w:rPr>
        <w:t xml:space="preserve">Rapid phylogenetic clustering of whole-genome sequence data is essential for outbreak investigation and routine genomic surveillance of foodborne pathogens. However, existing command-line tools such as Mashtree require local software installation, bioinformatics expertise, and may involve uploading sensitive sequence data to remote servers. Here we present mashtreewebx, a browser-based application that performs the complete Mashtree workflow entirely client-side: MinHash distance estimation via Mash compiled to WebAssembly (WASM), neighbour-joining tree construction using the CDC patristic library, and interactive tree visualisation with Phylocanvas.gl. No data leave the user’s machine, eliminating privacy concerns associated with server-based genomic analysis. We validate mashtreewebx against native Mashtree using published benchmark datasets for foodborne pathogen surveillance and demonstrate concordant distance matrices, equivalent tree topologies, and acceptable performance for datasets typical of outbreak investigations.</w:t>
      </w:r>
    </w:p>
    <w:p>
      <w:pPr>
        <w:spacing w:after="120" w:line="480"/>
      </w:pPr>
      <w:r>
        <w:rPr>
          <w:rFonts w:ascii="Times New Roman" w:cs="Times New Roman" w:eastAsia="Times New Roman" w:hAnsi="Times New Roman"/>
          <w:b/>
          <w:bCs/>
          <w:sz w:val="24"/>
          <w:szCs w:val="24"/>
        </w:rPr>
        <w:t xml:space="preserve">Availability and Implementation: </w:t>
      </w:r>
      <w:r>
        <w:rPr>
          <w:rFonts w:ascii="Times New Roman" w:cs="Times New Roman" w:eastAsia="Times New Roman" w:hAnsi="Times New Roman"/>
          <w:sz w:val="24"/>
          <w:szCs w:val="24"/>
        </w:rPr>
        <w:t xml:space="preserve">Mashtreewebx is freely available at https://mashtreewebx.vercel.app with source code at https://github.com/happykhan/mashtreewebx under the GPL-3.0 licence. An archived release is deposited at [Zenodo DOI to be added]. Implemented in TypeScript/React with Vite; tested on Chrome, Firefox, Safari, and Edge.</w:t>
      </w:r>
    </w:p>
    <w:p>
      <w:pPr>
        <w:spacing w:after="120" w:line="480"/>
      </w:pPr>
      <w:r>
        <w:rPr>
          <w:rFonts w:ascii="Times New Roman" w:cs="Times New Roman" w:eastAsia="Times New Roman" w:hAnsi="Times New Roman"/>
          <w:b/>
          <w:bCs/>
          <w:sz w:val="24"/>
          <w:szCs w:val="24"/>
        </w:rPr>
        <w:t xml:space="preserve">Contact: </w:t>
      </w:r>
      <w:r>
        <w:rPr>
          <w:rFonts w:ascii="Times New Roman" w:cs="Times New Roman" w:eastAsia="Times New Roman" w:hAnsi="Times New Roman"/>
          <w:sz w:val="24"/>
          <w:szCs w:val="24"/>
        </w:rPr>
        <w:t xml:space="preserve">[Corresponding author email to be added]</w:t>
      </w:r>
    </w:p>
    <w:p>
      <w:pPr>
        <w:spacing w:after="120" w:line="480"/>
      </w:pPr>
      <w:r>
        <w:rPr>
          <w:rFonts w:ascii="Times New Roman" w:cs="Times New Roman" w:eastAsia="Times New Roman" w:hAnsi="Times New Roman"/>
          <w:b/>
          <w:bCs/>
          <w:sz w:val="24"/>
          <w:szCs w:val="24"/>
        </w:rPr>
        <w:t xml:space="preserve">Supplementary information: </w:t>
      </w:r>
      <w:r>
        <w:rPr>
          <w:rFonts w:ascii="Times New Roman" w:cs="Times New Roman" w:eastAsia="Times New Roman" w:hAnsi="Times New Roman"/>
          <w:sz w:val="24"/>
          <w:szCs w:val="24"/>
        </w:rPr>
        <w:t xml:space="preserve">Supplementary data are available at Bioinformatics online.</w:t>
      </w:r>
    </w:p>
    <w:p>
      <w:pPr>
        <w:pStyle w:val="Heading1"/>
        <w:spacing w:before="240" w:after="120"/>
      </w:pPr>
      <w:r>
        <w:rPr>
          <w:rFonts w:ascii="Times New Roman" w:cs="Times New Roman" w:eastAsia="Times New Roman" w:hAnsi="Times New Roman"/>
          <w:b/>
          <w:bCs/>
          <w:sz w:val="24"/>
          <w:szCs w:val="24"/>
        </w:rPr>
        <w:t xml:space="preserve">1 Introduction</w:t>
      </w:r>
    </w:p>
    <w:p>
      <w:pPr>
        <w:spacing w:after="120" w:line="480"/>
      </w:pPr>
      <w:r>
        <w:rPr>
          <w:rFonts w:ascii="Times New Roman" w:cs="Times New Roman" w:eastAsia="Times New Roman" w:hAnsi="Times New Roman"/>
          <w:sz w:val="24"/>
          <w:szCs w:val="24"/>
        </w:rPr>
        <w:t xml:space="preserve">Whole-genome sequencing (WGS) has become the standard for characterising bacterial pathogens in outbreak investigations and public health surveillance (Timme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A common first step in genomic epidemiology is rapid phylogenetic clustering to identify groups of closely related isolates. Mashtree (Katz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2019) provides this capability by computing pairwise MinHash distances with Mash (Ondov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2016) and building neighbour-joining (NJ) dendrograms (Saitou and Nei, 1987). This approach is far faster than alignment-based phylogenetics and well-suited to exploratory analysis, though it produces approximate distance-based trees rather than formal evolutionary phylogenies.</w:t>
      </w:r>
    </w:p>
    <w:p>
      <w:pPr>
        <w:spacing w:after="120" w:line="480"/>
      </w:pPr>
      <w:r>
        <w:rPr>
          <w:rFonts w:ascii="Times New Roman" w:cs="Times New Roman" w:eastAsia="Times New Roman" w:hAnsi="Times New Roman"/>
          <w:sz w:val="24"/>
          <w:szCs w:val="24"/>
        </w:rPr>
        <w:t xml:space="preserve">Despite its utility, Mashtree requires command-line proficiency and local installation of Mash, Perl, and several dependencies—a barrier for many public health laboratory scientists, epidemiologists, and students. Web-based platforms such as Galaxy (The Galaxy Community, 2022) can provide graphical interfaces but require data upload to remote servers, which may be unacceptable for sensitive clinical or outbreak-associated pathogen genomes. Existing web-based phylogenetics tools such as iTOL (Letunic and Bork, 2021), Microreact (Argimón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2016), and Nextstrain (Hadfield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2018) focus on tree visualisation and sharing rather than de novo tree computation.</w:t>
      </w:r>
    </w:p>
    <w:p>
      <w:pPr>
        <w:spacing w:after="120" w:line="480"/>
      </w:pPr>
      <w:r>
        <w:rPr>
          <w:rFonts w:ascii="Times New Roman" w:cs="Times New Roman" w:eastAsia="Times New Roman" w:hAnsi="Times New Roman"/>
          <w:sz w:val="24"/>
          <w:szCs w:val="24"/>
        </w:rPr>
        <w:t xml:space="preserve">WebAssembly (WASM) enables compiled C/C++ code to execute at near-native speed within web browsers (Haas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Recent work has demonstrated the feasibility of running bioinformatics tools entirely client-side via WASM, including ViralWasm for viral sequence analysis (Ji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and fastq.bio for sequencing quality control (Aboukhalil, 2019). These tools eliminate installation barriers while preserving data privacy through local-first computation (Linderman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2019).</w:t>
      </w:r>
    </w:p>
    <w:p>
      <w:pPr>
        <w:spacing w:after="120" w:line="480"/>
      </w:pPr>
      <w:r>
        <w:rPr>
          <w:rFonts w:ascii="Times New Roman" w:cs="Times New Roman" w:eastAsia="Times New Roman" w:hAnsi="Times New Roman"/>
          <w:sz w:val="24"/>
          <w:szCs w:val="24"/>
        </w:rPr>
        <w:t xml:space="preserve">Here we present mashtreewebx, a web application that brings the complete Mashtree workflow to the browser. It computes MinHash genome distances via Mash WASM, constructs NJ trees, and renders interactive phylogenies—all without transmitting data to any server. We validate the tool against native Mashtree using curated benchmark datasets for foodborne pathogen surveillance.</w:t>
      </w:r>
    </w:p>
    <w:p>
      <w:pPr>
        <w:pStyle w:val="Heading1"/>
        <w:spacing w:before="240" w:after="120"/>
      </w:pPr>
      <w:r>
        <w:rPr>
          <w:rFonts w:ascii="Times New Roman" w:cs="Times New Roman" w:eastAsia="Times New Roman" w:hAnsi="Times New Roman"/>
          <w:b/>
          <w:bCs/>
          <w:sz w:val="24"/>
          <w:szCs w:val="24"/>
        </w:rPr>
        <w:t xml:space="preserve">2 Implementation</w:t>
      </w:r>
    </w:p>
    <w:p>
      <w:pPr>
        <w:spacing w:after="120" w:line="480"/>
      </w:pPr>
      <w:r>
        <w:rPr>
          <w:rFonts w:ascii="Times New Roman" w:cs="Times New Roman" w:eastAsia="Times New Roman" w:hAnsi="Times New Roman"/>
          <w:sz w:val="24"/>
          <w:szCs w:val="24"/>
        </w:rPr>
        <w:t xml:space="preserve">Mashtreewebx is a single-page application built with React 18 and TypeScript, bundled with Vite and deployed as a static site on Vercel. The complete computational pipeline executes in the user’s browser with no server-side component. The architecture comprises four stages (Fig. 1).</w:t>
      </w:r>
    </w:p>
    <w:p>
      <w:pPr>
        <w:spacing w:after="120" w:line="480"/>
      </w:pPr>
      <w:r>
        <w:rPr>
          <w:rFonts w:ascii="Times New Roman" w:cs="Times New Roman" w:eastAsia="Times New Roman" w:hAnsi="Times New Roman"/>
          <w:b/>
          <w:bCs/>
          <w:sz w:val="24"/>
          <w:szCs w:val="24"/>
        </w:rPr>
        <w:t xml:space="preserve">Genome input and decompression. </w:t>
      </w:r>
      <w:r>
        <w:rPr>
          <w:rFonts w:ascii="Times New Roman" w:cs="Times New Roman" w:eastAsia="Times New Roman" w:hAnsi="Times New Roman"/>
          <w:sz w:val="24"/>
          <w:szCs w:val="24"/>
        </w:rPr>
        <w:t xml:space="preserve">Users upload genome assemblies in FASTA format (optionally gzip-compressed) via drag-and-drop or file browser. Compressed files are decompressed client-side using the browser’s native DecompressionStream API. File contents are held as raw Uint8Array buffers in memory.</w:t>
      </w:r>
    </w:p>
    <w:p>
      <w:pPr>
        <w:spacing w:after="120" w:line="480"/>
      </w:pPr>
      <w:r>
        <w:rPr>
          <w:rFonts w:ascii="Times New Roman" w:cs="Times New Roman" w:eastAsia="Times New Roman" w:hAnsi="Times New Roman"/>
          <w:b/>
          <w:bCs/>
          <w:sz w:val="24"/>
          <w:szCs w:val="24"/>
        </w:rPr>
        <w:t xml:space="preserve">MinHash distance computation. </w:t>
      </w:r>
      <w:r>
        <w:rPr>
          <w:rFonts w:ascii="Times New Roman" w:cs="Times New Roman" w:eastAsia="Times New Roman" w:hAnsi="Times New Roman"/>
          <w:sz w:val="24"/>
          <w:szCs w:val="24"/>
        </w:rPr>
        <w:t xml:space="preserve">Mash v2.3 is compiled to WebAssembly via Emscripten and loaded as a WASM module. The pipeline writes uploaded genome bytes to the Emscripten virtual filesystem, then invokes </w:t>
      </w:r>
      <w:r>
        <w:rPr>
          <w:rFonts w:ascii="Times New Roman" w:cs="Times New Roman" w:eastAsia="Times New Roman" w:hAnsi="Times New Roman"/>
          <w:i/>
          <w:iCs/>
          <w:sz w:val="24"/>
          <w:szCs w:val="24"/>
        </w:rPr>
        <w:t xml:space="preserve">mash sketch</w:t>
      </w:r>
      <w:r>
        <w:rPr>
          <w:rFonts w:ascii="Times New Roman" w:cs="Times New Roman" w:eastAsia="Times New Roman" w:hAnsi="Times New Roman"/>
          <w:sz w:val="24"/>
          <w:szCs w:val="24"/>
        </w:rPr>
        <w:t xml:space="preserve"> (default: k=21, sketch size s=10,000) followed by </w:t>
      </w:r>
      <w:r>
        <w:rPr>
          <w:rFonts w:ascii="Times New Roman" w:cs="Times New Roman" w:eastAsia="Times New Roman" w:hAnsi="Times New Roman"/>
          <w:i/>
          <w:iCs/>
          <w:sz w:val="24"/>
          <w:szCs w:val="24"/>
        </w:rPr>
        <w:t xml:space="preserve">mash triangle</w:t>
      </w:r>
      <w:r>
        <w:rPr>
          <w:rFonts w:ascii="Times New Roman" w:cs="Times New Roman" w:eastAsia="Times New Roman" w:hAnsi="Times New Roman"/>
          <w:sz w:val="24"/>
          <w:szCs w:val="24"/>
        </w:rPr>
        <w:t xml:space="preserve"> to produce a lower-triangular pairwise distance matrix. A critical implementation detail is that a fresh WASM instance is created for each Mash command, because Emscripten’s callMain() corrupts global module state on repeated invocations. The WASM binary is cached globally so instantiation overhead is minimal. The .msh sketch file is shuttled between instances via virtual filesystem read/write operations.</w:t>
      </w:r>
    </w:p>
    <w:p>
      <w:pPr>
        <w:spacing w:after="120" w:line="480"/>
      </w:pPr>
      <w:r>
        <w:rPr>
          <w:rFonts w:ascii="Times New Roman" w:cs="Times New Roman" w:eastAsia="Times New Roman" w:hAnsi="Times New Roman"/>
          <w:b/>
          <w:bCs/>
          <w:sz w:val="24"/>
          <w:szCs w:val="24"/>
        </w:rPr>
        <w:t xml:space="preserve">Neighbour-joining tree construction. </w:t>
      </w:r>
      <w:r>
        <w:rPr>
          <w:rFonts w:ascii="Times New Roman" w:cs="Times New Roman" w:eastAsia="Times New Roman" w:hAnsi="Times New Roman"/>
          <w:sz w:val="24"/>
          <w:szCs w:val="24"/>
        </w:rPr>
        <w:t xml:space="preserve">The Phylip-format lower-triangular matrix output is parsed into a symmetric distance matrix with associated genome names. This matrix is deep-copied (as patristic’s parseMatrix mutates its input in-place) and passed to the CDC patristic JavaScript library (https://github.com/CDCgov/patristic) for rapid NJ tree construction. The resulting tree is exported as a Newick string. Users may optionally configure genome sort order (alphabetical, input order, or randomised) and bootstrap or jackknife support values. Bootstrap support is computed by re-running the sketch–distance–NJ pipeline with different random seeds across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replicates, extracting bipartitions from each replicate tree, and annotating the reference tree with the percentage of replicates supporting each internal branch.</w:t>
      </w:r>
    </w:p>
    <w:p>
      <w:pPr>
        <w:spacing w:after="120" w:line="480"/>
      </w:pPr>
      <w:r>
        <w:rPr>
          <w:rFonts w:ascii="Times New Roman" w:cs="Times New Roman" w:eastAsia="Times New Roman" w:hAnsi="Times New Roman"/>
          <w:b/>
          <w:bCs/>
          <w:sz w:val="24"/>
          <w:szCs w:val="24"/>
        </w:rPr>
        <w:t xml:space="preserve">Tree visualisation and export. </w:t>
      </w:r>
      <w:r>
        <w:rPr>
          <w:rFonts w:ascii="Times New Roman" w:cs="Times New Roman" w:eastAsia="Times New Roman" w:hAnsi="Times New Roman"/>
          <w:sz w:val="24"/>
          <w:szCs w:val="24"/>
        </w:rPr>
        <w:t xml:space="preserve">The Newick tree is rendered interactively using Phylocanvas.gl (Argimón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2016), a WebGL-accelerated library capable of rendering trees with hundreds of thousands of leaves. Users can export the distance matrix as TSV and the tree as Newick for downstream analysis in other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Figure 1 — Architecture diagram]</w:t>
            </w:r>
          </w:p>
          <w:p>
            <w:pPr>
              <w:spacing w:after="0"/>
            </w:pPr>
            <w:r>
              <w:rPr>
                <w:rFonts w:ascii="Times New Roman" w:cs="Times New Roman" w:eastAsia="Times New Roman" w:hAnsi="Times New Roman"/>
                <w:i/>
                <w:iCs/>
                <w:color w:val="333333"/>
                <w:sz w:val="22"/>
                <w:szCs w:val="22"/>
              </w:rPr>
              <w:t xml:space="preserve">Schematic showing the mashtreewebx pipeline: FASTA upload → DecompressionStream → Mash WASM sketch → Mash WASM triangle → distance matrix → patristic NJ → Newick tree → Phylocanvas.gl rendering. Show the two separate WASM instances and the .msh file shuttle. Annotate with user-configurable parameters (k, s, seed, bootstrap replicates). Note: all computation occurs client-side.</w:t>
            </w:r>
          </w:p>
        </w:tc>
      </w:tr>
    </w:tbl>
    <w:p>
      <w:pPr>
        <w:spacing w:after="120"/>
      </w:pPr>
      <w:r>
        <w:t xml:space="preserve"/>
      </w:r>
    </w:p>
    <w:p>
      <w:pPr>
        <w:pStyle w:val="Heading1"/>
        <w:spacing w:before="240" w:after="120"/>
      </w:pPr>
      <w:r>
        <w:rPr>
          <w:rFonts w:ascii="Times New Roman" w:cs="Times New Roman" w:eastAsia="Times New Roman" w:hAnsi="Times New Roman"/>
          <w:b/>
          <w:bCs/>
          <w:sz w:val="24"/>
          <w:szCs w:val="24"/>
        </w:rPr>
        <w:t xml:space="preserve">3 Validation</w:t>
      </w:r>
    </w:p>
    <w:p>
      <w:pPr>
        <w:pStyle w:val="Heading2"/>
        <w:spacing w:before="240" w:after="120"/>
      </w:pPr>
      <w:r>
        <w:rPr>
          <w:rFonts w:ascii="Times New Roman" w:cs="Times New Roman" w:eastAsia="Times New Roman" w:hAnsi="Times New Roman"/>
          <w:b/>
          <w:bCs/>
          <w:sz w:val="22"/>
          <w:szCs w:val="22"/>
        </w:rPr>
        <w:t xml:space="preserve">3.1 Benchmark datasets</w:t>
      </w:r>
    </w:p>
    <w:p>
      <w:pPr>
        <w:spacing w:after="120" w:line="480"/>
      </w:pPr>
      <w:r>
        <w:rPr>
          <w:rFonts w:ascii="Times New Roman" w:cs="Times New Roman" w:eastAsia="Times New Roman" w:hAnsi="Times New Roman"/>
          <w:sz w:val="24"/>
          <w:szCs w:val="24"/>
        </w:rPr>
        <w:t xml:space="preserve">We evaluated mashtreewebx using the curated benchmark datasets of Timme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(2017), which were developed specifically for validating phylogenomic pipelines in foodborne pathogen surveillance and are co-authored by the creator of Mashtree. These datasets comprise WGS assemblies with known epidemiological structure and published reference phylogenies. We selected three datasets spanning a range of genome sizes and isolate counts (Table 1).</w:t>
      </w:r>
    </w:p>
    <w:p>
      <w:pPr>
        <w:spacing w:before="160" w:after="80"/>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Benchmark datasets used for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1400"/>
        <w:gridCol w:w="2426"/>
      </w:tblGrid>
      <w:tr>
        <w:trPr>
          <w:tblHeader/>
        </w:trPr>
        <w:tc>
          <w:tcPr>
            <w:tcW w:type="dxa" w:w="18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Dataset</w:t>
            </w:r>
          </w:p>
        </w:tc>
        <w:tc>
          <w:tcPr>
            <w:tcW w:type="dxa" w:w="20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Organism</w:t>
            </w:r>
          </w:p>
        </w:tc>
        <w:tc>
          <w:tcPr>
            <w:tcW w:type="dxa" w:w="14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Genomes (n)</w:t>
            </w:r>
          </w:p>
        </w:tc>
        <w:tc>
          <w:tcPr>
            <w:tcW w:type="dxa" w:w="1400"/>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Genome size</w:t>
            </w:r>
          </w:p>
        </w:tc>
        <w:tc>
          <w:tcPr>
            <w:tcW w:type="dxa" w:w="2426"/>
            <w:tcBorders>
              <w:top w:val="single" w:color="999999" w:sz="1"/>
              <w:left w:val="single" w:color="999999" w:sz="1"/>
              <w:bottom w:val="single" w:color="999999" w:sz="1"/>
              <w:right w:val="single" w:color="999999" w:sz="1"/>
            </w:tcBorders>
            <w:shd w:fill="E8E8E8" w:val="clear"/>
            <w:tcMar>
              <w:top w:type="dxa" w:w="60"/>
              <w:left w:type="dxa" w:w="80"/>
              <w:bottom w:type="dxa" w:w="60"/>
              <w:right w:type="dxa" w:w="80"/>
            </w:tcMar>
          </w:tcPr>
          <w:p>
            <w:pPr>
              <w:spacing w:after="0"/>
            </w:pPr>
            <w:r>
              <w:rPr>
                <w:rFonts w:ascii="Times New Roman" w:cs="Times New Roman" w:eastAsia="Times New Roman" w:hAnsi="Times New Roman"/>
                <w:b/>
                <w:bCs/>
                <w:sz w:val="20"/>
                <w:szCs w:val="20"/>
              </w:rPr>
              <w:t xml:space="preserve">NCBI BioProject</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i/>
                <w:iCs/>
                <w:sz w:val="20"/>
                <w:szCs w:val="20"/>
              </w:rPr>
              <w:t xml:space="preserve">Listeria</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i/>
                <w:iCs/>
                <w:sz w:val="20"/>
                <w:szCs w:val="20"/>
              </w:rPr>
              <w:t xml:space="preserve">L. monocytogenes</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[n to be confirmed]</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~3.0 Mb</w:t>
            </w:r>
          </w:p>
        </w:tc>
        <w:tc>
          <w:tcPr>
            <w:tcW w:type="dxa" w:w="24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[to be added]</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i/>
                <w:iCs/>
                <w:sz w:val="20"/>
                <w:szCs w:val="20"/>
              </w:rPr>
              <w:t xml:space="preserve">Salmonella</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i/>
                <w:iCs/>
                <w:sz w:val="20"/>
                <w:szCs w:val="20"/>
              </w:rPr>
              <w:t xml:space="preserve">S. enterica</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[n to be confirmed]</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~5.0 Mb</w:t>
            </w:r>
          </w:p>
        </w:tc>
        <w:tc>
          <w:tcPr>
            <w:tcW w:type="dxa" w:w="24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[to be added]</w:t>
            </w:r>
          </w:p>
        </w:tc>
      </w:tr>
      <w:tr>
        <w:tc>
          <w:tcPr>
            <w:tcW w:type="dxa" w:w="18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i/>
                <w:iCs/>
                <w:sz w:val="20"/>
                <w:szCs w:val="20"/>
              </w:rPr>
              <w:t xml:space="preserve">Campylobacter</w:t>
            </w:r>
          </w:p>
        </w:tc>
        <w:tc>
          <w:tcPr>
            <w:tcW w:type="dxa" w:w="20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i/>
                <w:iCs/>
                <w:sz w:val="20"/>
                <w:szCs w:val="20"/>
              </w:rPr>
              <w:t xml:space="preserve">C. jejuni</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[n to be confirmed]</w:t>
            </w:r>
          </w:p>
        </w:tc>
        <w:tc>
          <w:tcPr>
            <w:tcW w:type="dxa" w:w="1400"/>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~1.6 Mb</w:t>
            </w:r>
          </w:p>
        </w:tc>
        <w:tc>
          <w:tcPr>
            <w:tcW w:type="dxa" w:w="2426"/>
            <w:tcBorders>
              <w:top w:val="single" w:color="999999" w:sz="1"/>
              <w:left w:val="single" w:color="999999" w:sz="1"/>
              <w:bottom w:val="single" w:color="999999" w:sz="1"/>
              <w:right w:val="single" w:color="999999" w:sz="1"/>
            </w:tcBorders>
            <w:tcMar>
              <w:top w:type="dxa" w:w="60"/>
              <w:left w:type="dxa" w:w="80"/>
              <w:bottom w:type="dxa" w:w="60"/>
              <w:right w:type="dxa" w:w="80"/>
            </w:tcMar>
          </w:tcPr>
          <w:p>
            <w:pPr>
              <w:spacing w:after="0"/>
            </w:pPr>
            <w:r>
              <w:rPr>
                <w:rFonts w:ascii="Times New Roman" w:cs="Times New Roman" w:eastAsia="Times New Roman" w:hAnsi="Times New Roman"/>
                <w:sz w:val="20"/>
                <w:szCs w:val="20"/>
              </w:rPr>
              <w:t xml:space="preserve">[to be added]</w:t>
            </w:r>
          </w:p>
        </w:tc>
      </w:tr>
    </w:tbl>
    <w:p>
      <w:pPr>
        <w:spacing w:after="120"/>
      </w:pPr>
      <w:r>
        <w:t xml:space="preserve"/>
      </w:r>
    </w:p>
    <w:p>
      <w:pPr>
        <w:pStyle w:val="Heading2"/>
        <w:spacing w:before="240" w:after="120"/>
      </w:pPr>
      <w:r>
        <w:rPr>
          <w:rFonts w:ascii="Times New Roman" w:cs="Times New Roman" w:eastAsia="Times New Roman" w:hAnsi="Times New Roman"/>
          <w:b/>
          <w:bCs/>
          <w:sz w:val="22"/>
          <w:szCs w:val="22"/>
        </w:rPr>
        <w:t xml:space="preserve">3.2 Concordance with native Mashtree</w:t>
      </w:r>
    </w:p>
    <w:p>
      <w:pPr>
        <w:spacing w:after="120" w:line="480"/>
      </w:pPr>
      <w:r>
        <w:rPr>
          <w:rFonts w:ascii="Times New Roman" w:cs="Times New Roman" w:eastAsia="Times New Roman" w:hAnsi="Times New Roman"/>
          <w:sz w:val="24"/>
          <w:szCs w:val="24"/>
        </w:rPr>
        <w:t xml:space="preserve">For each dataset, we ran both mashtreewebx (Chrome [version], macOS/Windows/Linux) and command-line Mashtree v1.4.6 with identical parameters (k=21, s=10,000, default seed). We compared: (i) pairwise Mash distance matrices (element-wise absolute difference); (ii) NJ tree topologies using normalised Robinson–Foulds (nRF) distance (Robinson and Foulds, 1981) computed with DendroPy (Sukumaran and Holder, 2010); and (iii) branch-length correlation for matching bipartitions.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Experiment 1 — Distance matrix concordance]</w:t>
            </w:r>
          </w:p>
          <w:p>
            <w:pPr>
              <w:spacing w:after="0"/>
            </w:pPr>
            <w:r>
              <w:rPr>
                <w:rFonts w:ascii="Times New Roman" w:cs="Times New Roman" w:eastAsia="Times New Roman" w:hAnsi="Times New Roman"/>
                <w:i/>
                <w:iCs/>
                <w:color w:val="333333"/>
                <w:sz w:val="22"/>
                <w:szCs w:val="22"/>
              </w:rPr>
              <w:t xml:space="preserve">For each of the three datasets, compute element-wise |D_web - D_native| for all pairwise distances. Report: max absolute error, mean absolute error, Pearson correlation (r), and number of discordant distance pairs (if any). Expected result: exact or near-exact agreement, with any differences limited to floating-point precision (~10⁻¹⁶). Present as a summary table or as a scatter plot of D_web vs D_native with 1:1 line.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Experiment 2 — Tree topology concordance]</w:t>
            </w:r>
          </w:p>
          <w:p>
            <w:pPr>
              <w:spacing w:after="0"/>
            </w:pPr>
            <w:r>
              <w:rPr>
                <w:rFonts w:ascii="Times New Roman" w:cs="Times New Roman" w:eastAsia="Times New Roman" w:hAnsi="Times New Roman"/>
                <w:i/>
                <w:iCs/>
                <w:color w:val="333333"/>
                <w:sz w:val="22"/>
                <w:szCs w:val="22"/>
              </w:rPr>
              <w:t xml:space="preserve">For each dataset, compute the normalised Robinson-Foulds distance between mashtreewebx and native Mashtree NJ trees. Also compute the weighted RF distance (branch-length aware). Expected result: nRF = 0 (identical topologies) given identical distance matrices. If minor discrepancies arise from NJ tie-breaking, report them. Present tanglegram visualisations comparing the two trees side-by-side for at least one dataset.</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Experiment 3 — Concordance with reference phylogeny]</w:t>
            </w:r>
          </w:p>
          <w:p>
            <w:pPr>
              <w:spacing w:after="0"/>
            </w:pPr>
            <w:r>
              <w:rPr>
                <w:rFonts w:ascii="Times New Roman" w:cs="Times New Roman" w:eastAsia="Times New Roman" w:hAnsi="Times New Roman"/>
                <w:i/>
                <w:iCs/>
                <w:color w:val="333333"/>
                <w:sz w:val="22"/>
                <w:szCs w:val="22"/>
              </w:rPr>
              <w:t xml:space="preserve">Compare mashtreewebx NJ trees against the SNP-based reference phylogenies provided in Timme et al. (2017) for each dataset. Report nRF distance, number of concordant/discordant bipartitions, and whether known outbreak clusters are correctly recovered. This validates biological utility, not just technical parity. Note: some topology differences are expected since Mash distance-based NJ trees are approximate and should not be expected to perfectly match alignment-based phylogenies.</w:t>
            </w:r>
          </w:p>
        </w:tc>
      </w:tr>
    </w:tbl>
    <w:p>
      <w:pPr>
        <w:spacing w:after="120"/>
      </w:pPr>
      <w:r>
        <w:t xml:space="preserve"/>
      </w:r>
    </w:p>
    <w:p>
      <w:pPr>
        <w:pStyle w:val="Heading2"/>
        <w:spacing w:before="240" w:after="120"/>
      </w:pPr>
      <w:r>
        <w:rPr>
          <w:rFonts w:ascii="Times New Roman" w:cs="Times New Roman" w:eastAsia="Times New Roman" w:hAnsi="Times New Roman"/>
          <w:b/>
          <w:bCs/>
          <w:sz w:val="22"/>
          <w:szCs w:val="22"/>
        </w:rPr>
        <w:t xml:space="preserve">3.3 Performance benchmarks</w:t>
      </w:r>
    </w:p>
    <w:p>
      <w:pPr>
        <w:spacing w:after="120" w:line="480"/>
      </w:pPr>
      <w:r>
        <w:rPr>
          <w:rFonts w:ascii="Times New Roman" w:cs="Times New Roman" w:eastAsia="Times New Roman" w:hAnsi="Times New Roman"/>
          <w:sz w:val="24"/>
          <w:szCs w:val="24"/>
        </w:rPr>
        <w:t xml:space="preserve">We measured wall-clock execution time for each pipeline stage (file reading, Mash sketch, Mash triangle, NJ construction) across the three datasets. All benchmarks were performed on [hardware specification to be added] using Chrome [version] and Firefox [version], with five replicate runs per condition. We also measured peak browser memory usage using the Performance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Experiment 4 — Performance: WASM vs native]</w:t>
            </w:r>
          </w:p>
          <w:p>
            <w:pPr>
              <w:spacing w:after="0"/>
            </w:pPr>
            <w:r>
              <w:rPr>
                <w:rFonts w:ascii="Times New Roman" w:cs="Times New Roman" w:eastAsia="Times New Roman" w:hAnsi="Times New Roman"/>
                <w:i/>
                <w:iCs/>
                <w:color w:val="333333"/>
                <w:sz w:val="22"/>
                <w:szCs w:val="22"/>
              </w:rPr>
              <w:t xml:space="preserve">For each dataset, measure and decompose execution time into: (a) file reading/decompression, (b) Mash sketch, (c) Mash triangle, (d) NJ tree construction. Compare total wall-clock time against native Mashtree. Report mean ± SD across 5 runs. Test on Chrome and Firefox. Expected result: 2–5× slowdown vs native based on ViralWasm precedent (Ji et al., 2024) and WASM benchmarks (Jangda et al., 2019). Present as a grouped bar chart showing time decomposition per stage and per browser.</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Experiment 5 — Scalability]</w:t>
            </w:r>
          </w:p>
          <w:p>
            <w:pPr>
              <w:spacing w:after="0"/>
            </w:pPr>
            <w:r>
              <w:rPr>
                <w:rFonts w:ascii="Times New Roman" w:cs="Times New Roman" w:eastAsia="Times New Roman" w:hAnsi="Times New Roman"/>
                <w:i/>
                <w:iCs/>
                <w:color w:val="333333"/>
                <w:sz w:val="22"/>
                <w:szCs w:val="22"/>
              </w:rPr>
              <w:t xml:space="preserve">Assess how execution time and memory scale with the number of genomes. Using the Listeria dataset as a base, create subsets of increasing size (n = 5, 10, 15, 20, ...) and measure total execution time and peak memory. Plot time vs n and memory vs n. Note the expected O(n²) scaling for distance computation and O(n³) for NJ. Identify the practical upper limit for browser-based analysis (expected: ~50–100 bacterial genomes before memory or time become prohibitive).</w:t>
            </w:r>
          </w:p>
        </w:tc>
      </w:tr>
    </w:tbl>
    <w:p>
      <w:pPr>
        <w:spacing w:after="120"/>
      </w:pPr>
      <w:r>
        <w:t xml:space="preserve"/>
      </w:r>
    </w:p>
    <w:p>
      <w:pPr>
        <w:pStyle w:val="Heading2"/>
        <w:spacing w:before="240" w:after="120"/>
      </w:pPr>
      <w:r>
        <w:rPr>
          <w:rFonts w:ascii="Times New Roman" w:cs="Times New Roman" w:eastAsia="Times New Roman" w:hAnsi="Times New Roman"/>
          <w:b/>
          <w:bCs/>
          <w:sz w:val="22"/>
          <w:szCs w:val="22"/>
        </w:rPr>
        <w:t xml:space="preserve">3.4 Bootstrap support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Experiment 6 — Bootstrap/jackknife behaviour]</w:t>
            </w:r>
          </w:p>
          <w:p>
            <w:pPr>
              <w:spacing w:after="0"/>
            </w:pPr>
            <w:r>
              <w:rPr>
                <w:rFonts w:ascii="Times New Roman" w:cs="Times New Roman" w:eastAsia="Times New Roman" w:hAnsi="Times New Roman"/>
                <w:i/>
                <w:iCs/>
                <w:color w:val="333333"/>
                <w:sz w:val="22"/>
                <w:szCs w:val="22"/>
              </w:rPr>
              <w:t xml:space="preserve">Using the simulated dataset from Timme et al. (2017) where the true tree is known, evaluate bootstrap and jackknife support values from mashtreewebx (100 replicates). Compare: (a) rank correlation of support values between mashtreewebx and native Mashtree jackknife; (b) calibration of support values against the true tree (i.e., do branches with high support correspond to correct bipartitions?). Note that mashtreewebx’s bootstrap resamples Mash sketch seeds rather than alignment columns, so support values should be interpreted as sketch-stability estimates rather than classical phylogenetic bootstraps.</w:t>
            </w:r>
          </w:p>
        </w:tc>
      </w:tr>
    </w:tbl>
    <w:p>
      <w:pPr>
        <w:spacing w:after="120"/>
      </w:pPr>
      <w:r>
        <w:t xml:space="preserve"/>
      </w:r>
    </w:p>
    <w:p>
      <w:pPr>
        <w:pStyle w:val="Heading1"/>
        <w:spacing w:before="240" w:after="120"/>
      </w:pPr>
      <w:r>
        <w:rPr>
          <w:rFonts w:ascii="Times New Roman" w:cs="Times New Roman" w:eastAsia="Times New Roman" w:hAnsi="Times New Roman"/>
          <w:b/>
          <w:bCs/>
          <w:sz w:val="24"/>
          <w:szCs w:val="24"/>
        </w:rPr>
        <w:t xml:space="preserve">4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Results section — to be written after experiments]</w:t>
            </w:r>
          </w:p>
          <w:p>
            <w:pPr>
              <w:spacing w:after="0"/>
            </w:pPr>
            <w:r>
              <w:rPr>
                <w:rFonts w:ascii="Times New Roman" w:cs="Times New Roman" w:eastAsia="Times New Roman" w:hAnsi="Times New Roman"/>
                <w:i/>
                <w:iCs/>
                <w:color w:val="333333"/>
                <w:sz w:val="22"/>
                <w:szCs w:val="22"/>
              </w:rPr>
              <w:t xml:space="preserve">Summarise findings from Experiments 1–6 above. Expected narrative: (1) Distance matrices produced by mashtreewebx are identical or near-identical to native Mash output, confirming faithful WASM compilation. (2) NJ tree topologies are concordant with native Mashtree (nRF = 0 expected). (3) Trees recover known outbreak clusters from the Timme et al. reference phylogenies, though with expected topological differences at deeper nodes. (4) WASM execution is 2–5× slower than native but completes within seconds to minutes for typical outbreak-scale datasets (&lt;50 genomes). (5) The tool scales adequately for routine surveillance workloads. (6) Bootstrap support values correlate well with native Mashtree jackknife and show reasonable calibration against known true trees.</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0000" w:sz="2"/>
              <w:left w:val="single" w:color="CC0000" w:sz="2"/>
              <w:bottom w:val="single" w:color="CC0000" w:sz="2"/>
              <w:right w:val="single" w:color="CC0000" w:sz="2"/>
            </w:tcBorders>
            <w:shd w:fill="FFF3F3" w:val="clear"/>
            <w:tcMar>
              <w:top w:type="dxa" w:w="120"/>
              <w:left w:type="dxa" w:w="200"/>
              <w:bottom w:type="dxa" w:w="120"/>
              <w:right w:type="dxa" w:w="200"/>
            </w:tcMar>
          </w:tcPr>
          <w:p>
            <w:pPr>
              <w:spacing w:after="80"/>
            </w:pPr>
            <w:r>
              <w:rPr>
                <w:rFonts w:ascii="Times New Roman" w:cs="Times New Roman" w:eastAsia="Times New Roman" w:hAnsi="Times New Roman"/>
                <w:b/>
                <w:bCs/>
                <w:color w:val="CC0000"/>
                <w:sz w:val="24"/>
                <w:szCs w:val="24"/>
              </w:rPr>
              <w:t xml:space="preserve">[PLACEHOLDER: Figure 2 — Validation results]</w:t>
            </w:r>
          </w:p>
          <w:p>
            <w:pPr>
              <w:spacing w:after="0"/>
            </w:pPr>
            <w:r>
              <w:rPr>
                <w:rFonts w:ascii="Times New Roman" w:cs="Times New Roman" w:eastAsia="Times New Roman" w:hAnsi="Times New Roman"/>
                <w:i/>
                <w:iCs/>
                <w:color w:val="333333"/>
                <w:sz w:val="22"/>
                <w:szCs w:val="22"/>
              </w:rPr>
              <w:t xml:space="preserve">Composite figure with 2–3 panels. Panel A: scatter plot of mashtreewebx vs native Mash distances (one dataset, all pairwise comparisons) with 1:1 line and Pearson r. Panel B: tanglegram comparing mashtreewebx and native Mashtree NJ trees for one dataset, with connecting lines between matching leaves. Panel C (optional): bar chart showing execution time decomposition by pipeline stage across datasets, comparing WASM (Chrome, Firefox) vs native.</w:t>
            </w:r>
          </w:p>
        </w:tc>
      </w:tr>
    </w:tbl>
    <w:p>
      <w:pPr>
        <w:spacing w:after="120"/>
      </w:pPr>
      <w:r>
        <w:t xml:space="preserve"/>
      </w:r>
    </w:p>
    <w:p>
      <w:pPr>
        <w:pStyle w:val="Heading1"/>
        <w:spacing w:before="240" w:after="120"/>
      </w:pPr>
      <w:r>
        <w:rPr>
          <w:rFonts w:ascii="Times New Roman" w:cs="Times New Roman" w:eastAsia="Times New Roman" w:hAnsi="Times New Roman"/>
          <w:b/>
          <w:bCs/>
          <w:sz w:val="24"/>
          <w:szCs w:val="24"/>
        </w:rPr>
        <w:t xml:space="preserve">5 Discussion</w:t>
      </w:r>
    </w:p>
    <w:p>
      <w:pPr>
        <w:spacing w:after="120" w:line="480"/>
      </w:pPr>
      <w:r>
        <w:rPr>
          <w:rFonts w:ascii="Times New Roman" w:cs="Times New Roman" w:eastAsia="Times New Roman" w:hAnsi="Times New Roman"/>
          <w:sz w:val="24"/>
          <w:szCs w:val="24"/>
        </w:rPr>
        <w:t xml:space="preserve">Mashtreewebx demonstrates that Mash-based phylogenetic clustering can be performed entirely within a web browser with no loss of accuracy relative to native command-line tools. This eliminates the two principal barriers to rapid genomic clustering in public health settings: software installation complexity and the requirement to upload potentially sensitive genomic data to remote servers.</w:t>
      </w:r>
    </w:p>
    <w:p>
      <w:pPr>
        <w:spacing w:after="120" w:line="480"/>
      </w:pPr>
      <w:r>
        <w:rPr>
          <w:rFonts w:ascii="Times New Roman" w:cs="Times New Roman" w:eastAsia="Times New Roman" w:hAnsi="Times New Roman"/>
          <w:sz w:val="24"/>
          <w:szCs w:val="24"/>
        </w:rPr>
        <w:t xml:space="preserve">The client-side architecture provides strong privacy guarantees by design. Unlike server-based platforms, no sequence data, distance matrices, or phylogenetic results are transmitted over the network. This is particularly relevant for pathogen genomic data linked to patient metadata, where data sharing may be constrained by institutional policies, national regulations, or the EU General Data Protection Regulation which classifies genetic data as a special category requiring enhanced protection (Shabani and Borry, 2018). The tool can function entirely offline once initially loaded, further strengthening its privacy properties.</w:t>
      </w:r>
    </w:p>
    <w:p>
      <w:pPr>
        <w:spacing w:after="120" w:line="480"/>
      </w:pPr>
      <w:r>
        <w:rPr>
          <w:rFonts w:ascii="Times New Roman" w:cs="Times New Roman" w:eastAsia="Times New Roman" w:hAnsi="Times New Roman"/>
          <w:sz w:val="24"/>
          <w:szCs w:val="24"/>
        </w:rPr>
        <w:t xml:space="preserve">Several limitations should be noted. First, Mash distances are approximate genome-to-genome distances that do not account for evolutionary processes such as recombination, gene gain/loss, or genome rearrangement. NJ dendrograms from Mash distances are best interpreted as exploratory clustering tools rather than definitive evolutionary phylogenies, and should be validated against higher-resolution methods (e.g., SNP-based phylogenetics) for high-stakes epidemiological decisions. Second, the O(n²) distance computation and O(n³) NJ construction, combined with browser memory constraints (WASM currently has a 4 GB address space limit), restrict practical dataset sizes to approximately [n to be determined from Experiment 5] genomes. This is adequate for most outbreak investigations but insufficient for population-scale analyses. Third, the bootstrap and jackknife support values implemented here resample Mash sketch seeds rather than aligned sequence positions, producing sketch-stability estimates that should not be directly compared with classical phylogenetic bootstrap values.</w:t>
      </w:r>
    </w:p>
    <w:p>
      <w:pPr>
        <w:spacing w:after="120" w:line="480"/>
      </w:pPr>
      <w:r>
        <w:rPr>
          <w:rFonts w:ascii="Times New Roman" w:cs="Times New Roman" w:eastAsia="Times New Roman" w:hAnsi="Times New Roman"/>
          <w:sz w:val="24"/>
          <w:szCs w:val="24"/>
        </w:rPr>
        <w:t xml:space="preserve">Mashtreewebx occupies a distinct niche in the landscape of web-based phylogenetics tools. Whereas iTOL, Microreact, Phandango, and Taxonium (Sanderson, 2022) provide sophisticated tree visualisation and annotation capabilities, they require pre-computed trees as input. Galaxy provides a broad computational platform but requires server-side execution. ViralWasm (Ji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demonstrated the feasibility of client-side viral genomics via WASM but does not address bacterial genome clustering from assemblies. Mashtreewebx is, to our knowledge, the first tool to perform de novo MinHash-based phylogenetic clustering entirely in the browser.</w:t>
      </w:r>
    </w:p>
    <w:p>
      <w:pPr>
        <w:spacing w:after="120" w:line="480"/>
      </w:pPr>
      <w:r>
        <w:rPr>
          <w:rFonts w:ascii="Times New Roman" w:cs="Times New Roman" w:eastAsia="Times New Roman" w:hAnsi="Times New Roman"/>
          <w:sz w:val="24"/>
          <w:szCs w:val="24"/>
        </w:rPr>
        <w:t xml:space="preserve">Future development could extend mashtreewebx to support alternative tree-building algorithms, integration with other sketch-based methods such as sourmash (Pierce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2019) or Dashing (Baker and Langmead, 2019), and progressive/streaming analysis for larger datasets. The emergence of 64-bit WebAssembly addressing may also relax current memory limitations.</w:t>
      </w:r>
    </w:p>
    <w:p>
      <w:pPr>
        <w:pStyle w:val="Heading1"/>
        <w:spacing w:before="240" w:after="120"/>
      </w:pPr>
      <w:r>
        <w:rPr>
          <w:rFonts w:ascii="Times New Roman" w:cs="Times New Roman" w:eastAsia="Times New Roman" w:hAnsi="Times New Roman"/>
          <w:b/>
          <w:bCs/>
          <w:sz w:val="24"/>
          <w:szCs w:val="24"/>
        </w:rPr>
        <w:t xml:space="preserve">Acknowledgements</w:t>
      </w:r>
    </w:p>
    <w:p>
      <w:pPr>
        <w:spacing w:after="120" w:line="480"/>
      </w:pPr>
      <w:r>
        <w:rPr>
          <w:rFonts w:ascii="Times New Roman" w:cs="Times New Roman" w:eastAsia="Times New Roman" w:hAnsi="Times New Roman"/>
          <w:sz w:val="24"/>
          <w:szCs w:val="24"/>
        </w:rPr>
        <w:t xml:space="preserve">[To be completed. Acknowledge contributions, funding sources, and computational resources.]</w:t>
      </w:r>
    </w:p>
    <w:p>
      <w:pPr>
        <w:pStyle w:val="Heading1"/>
        <w:spacing w:before="240" w:after="120"/>
      </w:pPr>
      <w:r>
        <w:rPr>
          <w:rFonts w:ascii="Times New Roman" w:cs="Times New Roman" w:eastAsia="Times New Roman" w:hAnsi="Times New Roman"/>
          <w:b/>
          <w:bCs/>
          <w:sz w:val="24"/>
          <w:szCs w:val="24"/>
        </w:rPr>
        <w:t xml:space="preserve">Funding</w:t>
      </w:r>
    </w:p>
    <w:p>
      <w:pPr>
        <w:spacing w:after="120" w:line="480"/>
      </w:pPr>
      <w:r>
        <w:rPr>
          <w:rFonts w:ascii="Times New Roman" w:cs="Times New Roman" w:eastAsia="Times New Roman" w:hAnsi="Times New Roman"/>
          <w:sz w:val="24"/>
          <w:szCs w:val="24"/>
        </w:rPr>
        <w:t xml:space="preserve">[To be completed.]</w:t>
      </w:r>
    </w:p>
    <w:p>
      <w:pPr>
        <w:pStyle w:val="Heading1"/>
        <w:spacing w:before="240" w:after="120"/>
      </w:pPr>
      <w:r>
        <w:rPr>
          <w:rFonts w:ascii="Times New Roman" w:cs="Times New Roman" w:eastAsia="Times New Roman" w:hAnsi="Times New Roman"/>
          <w:b/>
          <w:bCs/>
          <w:sz w:val="24"/>
          <w:szCs w:val="24"/>
        </w:rPr>
        <w:t xml:space="preserve">References</w:t>
      </w:r>
    </w:p>
    <w:p>
      <w:pPr>
        <w:spacing w:after="80"/>
        <w:ind w:left="360" w:hanging="360"/>
      </w:pPr>
      <w:r>
        <w:rPr>
          <w:rFonts w:ascii="Times New Roman" w:cs="Times New Roman" w:eastAsia="Times New Roman" w:hAnsi="Times New Roman"/>
          <w:sz w:val="20"/>
          <w:szCs w:val="20"/>
        </w:rPr>
        <w:t xml:space="preserve">Aboukhalil, R. (2019) fastq.bio: A browser-based interactive platform for FASTQ quality control. GitHub: https://github.com/robertaboukhalil/fastq.bio.</w:t>
      </w:r>
    </w:p>
    <w:p>
      <w:pPr>
        <w:spacing w:after="80"/>
        <w:ind w:left="360" w:hanging="360"/>
      </w:pPr>
      <w:r>
        <w:rPr>
          <w:rFonts w:ascii="Times New Roman" w:cs="Times New Roman" w:eastAsia="Times New Roman" w:hAnsi="Times New Roman"/>
          <w:sz w:val="20"/>
          <w:szCs w:val="20"/>
        </w:rPr>
        <w:t xml:space="preserve">Argimón, S. et al. (2016) Microreact: visualizing and sharing data for genomic epidemiology and phylogeography. Microb. Genom., 2, e000093.</w:t>
      </w:r>
    </w:p>
    <w:p>
      <w:pPr>
        <w:spacing w:after="80"/>
        <w:ind w:left="360" w:hanging="360"/>
      </w:pPr>
      <w:r>
        <w:rPr>
          <w:rFonts w:ascii="Times New Roman" w:cs="Times New Roman" w:eastAsia="Times New Roman" w:hAnsi="Times New Roman"/>
          <w:sz w:val="20"/>
          <w:szCs w:val="20"/>
        </w:rPr>
        <w:t xml:space="preserve">Baker, D.N. and Langmead, B. (2019) Dashing: fast and accurate genomic distances with HyperLogLog. Genome Biol., 20, 265.</w:t>
      </w:r>
    </w:p>
    <w:p>
      <w:pPr>
        <w:spacing w:after="80"/>
        <w:ind w:left="360" w:hanging="360"/>
      </w:pPr>
      <w:r>
        <w:rPr>
          <w:rFonts w:ascii="Times New Roman" w:cs="Times New Roman" w:eastAsia="Times New Roman" w:hAnsi="Times New Roman"/>
          <w:sz w:val="20"/>
          <w:szCs w:val="20"/>
        </w:rPr>
        <w:t xml:space="preserve">Hadfield, J. et al. (2018) Nextstrain: real-time tracking of pathogen evolution. Bioinformatics, 34, 4121–4123.</w:t>
      </w:r>
    </w:p>
    <w:p>
      <w:pPr>
        <w:spacing w:after="80"/>
        <w:ind w:left="360" w:hanging="360"/>
      </w:pPr>
      <w:r>
        <w:rPr>
          <w:rFonts w:ascii="Times New Roman" w:cs="Times New Roman" w:eastAsia="Times New Roman" w:hAnsi="Times New Roman"/>
          <w:sz w:val="20"/>
          <w:szCs w:val="20"/>
        </w:rPr>
        <w:t xml:space="preserve">Haas, A. et al. (2017) Bringing the web up to speed with WebAssembly. In Proc. PLDI ’17, pp. 185–200.</w:t>
      </w:r>
    </w:p>
    <w:p>
      <w:pPr>
        <w:spacing w:after="80"/>
        <w:ind w:left="360" w:hanging="360"/>
      </w:pPr>
      <w:r>
        <w:rPr>
          <w:rFonts w:ascii="Times New Roman" w:cs="Times New Roman" w:eastAsia="Times New Roman" w:hAnsi="Times New Roman"/>
          <w:sz w:val="20"/>
          <w:szCs w:val="20"/>
        </w:rPr>
        <w:t xml:space="preserve">Jangda, A. et al. (2019) Not so fast: analyzing the performance of WebAssembly vs. native code. In Proc. USENIX ATC ’19, pp. 107–120.</w:t>
      </w:r>
    </w:p>
    <w:p>
      <w:pPr>
        <w:spacing w:after="80"/>
        <w:ind w:left="360" w:hanging="360"/>
      </w:pPr>
      <w:r>
        <w:rPr>
          <w:rFonts w:ascii="Times New Roman" w:cs="Times New Roman" w:eastAsia="Times New Roman" w:hAnsi="Times New Roman"/>
          <w:sz w:val="20"/>
          <w:szCs w:val="20"/>
        </w:rPr>
        <w:t xml:space="preserve">Ji, A., Aboukhalil, R. and Moshiri, N. (2024) ViralWasm: a client-side user-friendly web application suite for viral genomics. Bioinformatics, 40, btae018.</w:t>
      </w:r>
    </w:p>
    <w:p>
      <w:pPr>
        <w:spacing w:after="80"/>
        <w:ind w:left="360" w:hanging="360"/>
      </w:pPr>
      <w:r>
        <w:rPr>
          <w:rFonts w:ascii="Times New Roman" w:cs="Times New Roman" w:eastAsia="Times New Roman" w:hAnsi="Times New Roman"/>
          <w:sz w:val="20"/>
          <w:szCs w:val="20"/>
        </w:rPr>
        <w:t xml:space="preserve">Katz, L.S. et al. (2019) Mashtree: a rapid comparison of whole genome sequence files. J. Open Source Softw., 4, 1762.</w:t>
      </w:r>
    </w:p>
    <w:p>
      <w:pPr>
        <w:spacing w:after="80"/>
        <w:ind w:left="360" w:hanging="360"/>
      </w:pPr>
      <w:r>
        <w:rPr>
          <w:rFonts w:ascii="Times New Roman" w:cs="Times New Roman" w:eastAsia="Times New Roman" w:hAnsi="Times New Roman"/>
          <w:sz w:val="20"/>
          <w:szCs w:val="20"/>
        </w:rPr>
        <w:t xml:space="preserve">Letunic, I. and Bork, P. (2021) Interactive Tree Of Life (iTOL) v5: an online tool for phylogenetic tree display and annotation. Nucleic Acids Res., 49, W293–W296.</w:t>
      </w:r>
    </w:p>
    <w:p>
      <w:pPr>
        <w:spacing w:after="80"/>
        <w:ind w:left="360" w:hanging="360"/>
      </w:pPr>
      <w:r>
        <w:rPr>
          <w:rFonts w:ascii="Times New Roman" w:cs="Times New Roman" w:eastAsia="Times New Roman" w:hAnsi="Times New Roman"/>
          <w:sz w:val="20"/>
          <w:szCs w:val="20"/>
        </w:rPr>
        <w:t xml:space="preserve">Linderman, M.D. et al. (2019) MySeq: privacy-protecting browser-based personal Genome analysis for genomics education and exploration. BMC Med. Genomics, 12, 172.</w:t>
      </w:r>
    </w:p>
    <w:p>
      <w:pPr>
        <w:spacing w:after="80"/>
        <w:ind w:left="360" w:hanging="360"/>
      </w:pPr>
      <w:r>
        <w:rPr>
          <w:rFonts w:ascii="Times New Roman" w:cs="Times New Roman" w:eastAsia="Times New Roman" w:hAnsi="Times New Roman"/>
          <w:sz w:val="20"/>
          <w:szCs w:val="20"/>
        </w:rPr>
        <w:t xml:space="preserve">Ondov, B.D. et al. (2016) Mash: fast genome and metagenome distance estimation using MinHash. Genome Biol., 17, 132.</w:t>
      </w:r>
    </w:p>
    <w:p>
      <w:pPr>
        <w:spacing w:after="80"/>
        <w:ind w:left="360" w:hanging="360"/>
      </w:pPr>
      <w:r>
        <w:rPr>
          <w:rFonts w:ascii="Times New Roman" w:cs="Times New Roman" w:eastAsia="Times New Roman" w:hAnsi="Times New Roman"/>
          <w:sz w:val="20"/>
          <w:szCs w:val="20"/>
        </w:rPr>
        <w:t xml:space="preserve">Pierce, N.T. et al. (2019) Large-scale sequence comparisons with sourmash. F1000Research, 8, 1006.</w:t>
      </w:r>
    </w:p>
    <w:p>
      <w:pPr>
        <w:spacing w:after="80"/>
        <w:ind w:left="360" w:hanging="360"/>
      </w:pPr>
      <w:r>
        <w:rPr>
          <w:rFonts w:ascii="Times New Roman" w:cs="Times New Roman" w:eastAsia="Times New Roman" w:hAnsi="Times New Roman"/>
          <w:sz w:val="20"/>
          <w:szCs w:val="20"/>
        </w:rPr>
        <w:t xml:space="preserve">Robinson, D.F. and Foulds, L.R. (1981) Comparison of phylogenetic trees. Math. Biosci., 53, 131–147.</w:t>
      </w:r>
    </w:p>
    <w:p>
      <w:pPr>
        <w:spacing w:after="80"/>
        <w:ind w:left="360" w:hanging="360"/>
      </w:pPr>
      <w:r>
        <w:rPr>
          <w:rFonts w:ascii="Times New Roman" w:cs="Times New Roman" w:eastAsia="Times New Roman" w:hAnsi="Times New Roman"/>
          <w:sz w:val="20"/>
          <w:szCs w:val="20"/>
        </w:rPr>
        <w:t xml:space="preserve">Saitou, N. and Nei, M. (1987) The neighbor-joining method: a new method for reconstructing phylogenetic trees. Mol. Biol. Evol., 4, 406–425.</w:t>
      </w:r>
    </w:p>
    <w:p>
      <w:pPr>
        <w:spacing w:after="80"/>
        <w:ind w:left="360" w:hanging="360"/>
      </w:pPr>
      <w:r>
        <w:rPr>
          <w:rFonts w:ascii="Times New Roman" w:cs="Times New Roman" w:eastAsia="Times New Roman" w:hAnsi="Times New Roman"/>
          <w:sz w:val="20"/>
          <w:szCs w:val="20"/>
        </w:rPr>
        <w:t xml:space="preserve">Sanderson, T. (2022) Taxonium, a web-based tool for exploring large phylogenetic trees. eLife, 11, e82392.</w:t>
      </w:r>
    </w:p>
    <w:p>
      <w:pPr>
        <w:spacing w:after="80"/>
        <w:ind w:left="360" w:hanging="360"/>
      </w:pPr>
      <w:r>
        <w:rPr>
          <w:rFonts w:ascii="Times New Roman" w:cs="Times New Roman" w:eastAsia="Times New Roman" w:hAnsi="Times New Roman"/>
          <w:sz w:val="20"/>
          <w:szCs w:val="20"/>
        </w:rPr>
        <w:t xml:space="preserve">Shabani, M. and Borry, P. (2018) Rules for processing genetic data for research purposes in view of the new EU General Data Protection Regulation. Eur. J. Hum. Genet., 26, 149–156.</w:t>
      </w:r>
    </w:p>
    <w:p>
      <w:pPr>
        <w:spacing w:after="80"/>
        <w:ind w:left="360" w:hanging="360"/>
      </w:pPr>
      <w:r>
        <w:rPr>
          <w:rFonts w:ascii="Times New Roman" w:cs="Times New Roman" w:eastAsia="Times New Roman" w:hAnsi="Times New Roman"/>
          <w:sz w:val="20"/>
          <w:szCs w:val="20"/>
        </w:rPr>
        <w:t xml:space="preserve">Sukumaran, J. and Holder, M.T. (2010) DendroPy: a Python library for phylogenetic computing. Bioinformatics, 26, 1569–1571.</w:t>
      </w:r>
    </w:p>
    <w:p>
      <w:pPr>
        <w:spacing w:after="80"/>
        <w:ind w:left="360" w:hanging="360"/>
      </w:pPr>
      <w:r>
        <w:rPr>
          <w:rFonts w:ascii="Times New Roman" w:cs="Times New Roman" w:eastAsia="Times New Roman" w:hAnsi="Times New Roman"/>
          <w:sz w:val="20"/>
          <w:szCs w:val="20"/>
        </w:rPr>
        <w:t xml:space="preserve">The Galaxy Community (2022) The Galaxy platform for accessible, reproducible and collaborative biomedical analyses: 2022 update. Nucleic Acids Res., 50, W345–W351.</w:t>
      </w:r>
    </w:p>
    <w:p>
      <w:pPr>
        <w:spacing w:after="80"/>
        <w:ind w:left="360" w:hanging="360"/>
      </w:pPr>
      <w:r>
        <w:rPr>
          <w:rFonts w:ascii="Times New Roman" w:cs="Times New Roman" w:eastAsia="Times New Roman" w:hAnsi="Times New Roman"/>
          <w:sz w:val="20"/>
          <w:szCs w:val="20"/>
        </w:rPr>
        <w:t xml:space="preserve">Timme, R.E. et al. (2017) Benchmark datasets for phylogenomic pipeline validation, applications for foodborne pathogen surveillance. PeerJ, 5, e3893.</w:t>
      </w:r>
    </w:p>
    <w:p>
      <w:r>
        <w:br w:type="page"/>
      </w:r>
    </w:p>
    <w:p>
      <w:pPr>
        <w:pStyle w:val="Heading1"/>
        <w:spacing w:before="240" w:after="120"/>
      </w:pPr>
      <w:r>
        <w:rPr>
          <w:rFonts w:ascii="Times New Roman" w:cs="Times New Roman" w:eastAsia="Times New Roman" w:hAnsi="Times New Roman"/>
          <w:b/>
          <w:bCs/>
          <w:sz w:val="24"/>
          <w:szCs w:val="24"/>
        </w:rPr>
        <w:t xml:space="preserve">Supplementary Material</w:t>
      </w:r>
    </w:p>
    <w:p>
      <w:pPr>
        <w:spacing w:after="120" w:line="480"/>
      </w:pPr>
      <w:r>
        <w:rPr>
          <w:rFonts w:ascii="Times New Roman" w:cs="Times New Roman" w:eastAsia="Times New Roman" w:hAnsi="Times New Roman"/>
          <w:sz w:val="24"/>
          <w:szCs w:val="24"/>
        </w:rPr>
        <w:t xml:space="preserve">The following supplementary materials are provided:</w:t>
      </w:r>
    </w:p>
    <w:p>
      <w:pPr>
        <w:spacing w:after="120" w:line="480"/>
      </w:pPr>
      <w:r>
        <w:rPr>
          <w:rFonts w:ascii="Times New Roman" w:cs="Times New Roman" w:eastAsia="Times New Roman" w:hAnsi="Times New Roman"/>
          <w:b/>
          <w:bCs/>
          <w:sz w:val="24"/>
          <w:szCs w:val="24"/>
        </w:rPr>
        <w:t xml:space="preserve">Supplementary Table S1: </w:t>
      </w:r>
      <w:r>
        <w:rPr>
          <w:rFonts w:ascii="Times New Roman" w:cs="Times New Roman" w:eastAsia="Times New Roman" w:hAnsi="Times New Roman"/>
          <w:sz w:val="24"/>
          <w:szCs w:val="24"/>
        </w:rPr>
        <w:t xml:space="preserve">Full pairwise distance matrix comparison (mashtreewebx vs native Mash) for all benchmark datasets.</w:t>
      </w:r>
    </w:p>
    <w:p>
      <w:pPr>
        <w:spacing w:after="120" w:line="480"/>
      </w:pPr>
      <w:r>
        <w:rPr>
          <w:rFonts w:ascii="Times New Roman" w:cs="Times New Roman" w:eastAsia="Times New Roman" w:hAnsi="Times New Roman"/>
          <w:b/>
          <w:bCs/>
          <w:sz w:val="24"/>
          <w:szCs w:val="24"/>
        </w:rPr>
        <w:t xml:space="preserve">Supplementary Table S2: </w:t>
      </w:r>
      <w:r>
        <w:rPr>
          <w:rFonts w:ascii="Times New Roman" w:cs="Times New Roman" w:eastAsia="Times New Roman" w:hAnsi="Times New Roman"/>
          <w:sz w:val="24"/>
          <w:szCs w:val="24"/>
        </w:rPr>
        <w:t xml:space="preserve">Detailed performance benchmarks (per-stage timing, memory usage) across browsers and operating systems.</w:t>
      </w:r>
    </w:p>
    <w:p>
      <w:pPr>
        <w:spacing w:after="120" w:line="480"/>
      </w:pPr>
      <w:r>
        <w:rPr>
          <w:rFonts w:ascii="Times New Roman" w:cs="Times New Roman" w:eastAsia="Times New Roman" w:hAnsi="Times New Roman"/>
          <w:b/>
          <w:bCs/>
          <w:sz w:val="24"/>
          <w:szCs w:val="24"/>
        </w:rPr>
        <w:t xml:space="preserve">Supplementary Figure S1: </w:t>
      </w:r>
      <w:r>
        <w:rPr>
          <w:rFonts w:ascii="Times New Roman" w:cs="Times New Roman" w:eastAsia="Times New Roman" w:hAnsi="Times New Roman"/>
          <w:sz w:val="24"/>
          <w:szCs w:val="24"/>
        </w:rPr>
        <w:t xml:space="preserve">Tanglegram comparisons of mashtreewebx vs native Mashtree trees for all three benchmark datasets.</w:t>
      </w:r>
    </w:p>
    <w:p>
      <w:pPr>
        <w:spacing w:after="120" w:line="480"/>
      </w:pPr>
      <w:r>
        <w:rPr>
          <w:rFonts w:ascii="Times New Roman" w:cs="Times New Roman" w:eastAsia="Times New Roman" w:hAnsi="Times New Roman"/>
          <w:b/>
          <w:bCs/>
          <w:sz w:val="24"/>
          <w:szCs w:val="24"/>
        </w:rPr>
        <w:t xml:space="preserve">Supplementary Figure S2: </w:t>
      </w:r>
      <w:r>
        <w:rPr>
          <w:rFonts w:ascii="Times New Roman" w:cs="Times New Roman" w:eastAsia="Times New Roman" w:hAnsi="Times New Roman"/>
          <w:sz w:val="24"/>
          <w:szCs w:val="24"/>
        </w:rPr>
        <w:t xml:space="preserve">Scalability plots showing execution time and peak memory as a function of genome count.</w:t>
      </w:r>
    </w:p>
    <w:p>
      <w:pPr>
        <w:spacing w:after="120" w:line="480"/>
      </w:pPr>
      <w:r>
        <w:rPr>
          <w:rFonts w:ascii="Times New Roman" w:cs="Times New Roman" w:eastAsia="Times New Roman" w:hAnsi="Times New Roman"/>
          <w:b/>
          <w:bCs/>
          <w:sz w:val="24"/>
          <w:szCs w:val="24"/>
        </w:rPr>
        <w:t xml:space="preserve">Supplementary Figure S3: </w:t>
      </w:r>
      <w:r>
        <w:rPr>
          <w:rFonts w:ascii="Times New Roman" w:cs="Times New Roman" w:eastAsia="Times New Roman" w:hAnsi="Times New Roman"/>
          <w:sz w:val="24"/>
          <w:szCs w:val="24"/>
        </w:rPr>
        <w:t xml:space="preserve">Bootstrap support calibration plots: support value vs proportion of correct bipartitions in the simulated dataset.</w:t>
      </w:r>
    </w:p>
    <w:p>
      <w:pPr>
        <w:spacing w:after="120" w:line="480"/>
      </w:pPr>
      <w:r>
        <w:rPr>
          <w:rFonts w:ascii="Times New Roman" w:cs="Times New Roman" w:eastAsia="Times New Roman" w:hAnsi="Times New Roman"/>
          <w:b/>
          <w:bCs/>
          <w:sz w:val="24"/>
          <w:szCs w:val="24"/>
        </w:rPr>
        <w:t xml:space="preserve">Supplementary Note S1: </w:t>
      </w:r>
      <w:r>
        <w:rPr>
          <w:rFonts w:ascii="Times New Roman" w:cs="Times New Roman" w:eastAsia="Times New Roman" w:hAnsi="Times New Roman"/>
          <w:sz w:val="24"/>
          <w:szCs w:val="24"/>
        </w:rPr>
        <w:t xml:space="preserve">Detailed description of the reproducible benchmarking pipeline (Snakemake workflow for native Mashtree, Playwright scripts for automated browser testing).</w:t>
      </w:r>
    </w:p>
    <w:p>
      <w:pPr>
        <w:spacing w:after="120" w:line="480"/>
      </w:pPr>
      <w:r>
        <w:rPr>
          <w:rFonts w:ascii="Times New Roman" w:cs="Times New Roman" w:eastAsia="Times New Roman" w:hAnsi="Times New Roman"/>
          <w:b/>
          <w:bCs/>
          <w:sz w:val="24"/>
          <w:szCs w:val="24"/>
        </w:rPr>
        <w:t xml:space="preserve">Supplementary Table S3: </w:t>
      </w:r>
      <w:r>
        <w:rPr>
          <w:rFonts w:ascii="Times New Roman" w:cs="Times New Roman" w:eastAsia="Times New Roman" w:hAnsi="Times New Roman"/>
          <w:sz w:val="24"/>
          <w:szCs w:val="24"/>
        </w:rPr>
        <w:t xml:space="preserve">Feature comparison of mashtreewebx against related web-based phylogenetics tools (ViralWasm, Galaxy, Microreact, iTOL, Nextstrain, Phandango, Taxonium).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Mashtreewebx: browser-based phylogenetic clustering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2026-02-21T08:01:01.090Z</dcterms:created>
  <dcterms:modified xsi:type="dcterms:W3CDTF">2026-02-21T08:01:01.091Z</dcterms:modified>
</cp:coreProperties>
</file>

<file path=docProps/custom.xml><?xml version="1.0" encoding="utf-8"?>
<Properties xmlns="http://schemas.openxmlformats.org/officeDocument/2006/custom-properties" xmlns:vt="http://schemas.openxmlformats.org/officeDocument/2006/docPropsVTypes"/>
</file>