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FC0C"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3B2C3772" w14:textId="77777777" w:rsidR="006F33B7" w:rsidRDefault="006F33B7" w:rsidP="006F33B7">
      <w:pPr>
        <w:pStyle w:val="Portada-Centrado"/>
        <w:spacing w:before="0" w:after="0" w:line="240" w:lineRule="auto"/>
      </w:pPr>
    </w:p>
    <w:p w14:paraId="2A57E29D" w14:textId="77777777" w:rsidR="00CA7350" w:rsidRDefault="00A134DE">
      <w:pPr>
        <w:pStyle w:val="Portada-Centrado"/>
        <w:spacing w:after="280" w:line="276" w:lineRule="auto"/>
      </w:pPr>
      <w:r>
        <w:rPr>
          <w:b/>
          <w:bCs/>
          <w:sz w:val="34"/>
        </w:rPr>
        <w:t>MAESTRÍA EN INGENIERÍA DE SOFTWARE</w:t>
      </w:r>
    </w:p>
    <w:p w14:paraId="089D5E7B" w14:textId="77777777" w:rsidR="00CA7350" w:rsidRDefault="00A134DE">
      <w:pPr>
        <w:pStyle w:val="Portada-Centrado"/>
        <w:spacing w:after="360" w:line="276" w:lineRule="auto"/>
      </w:pPr>
      <w:r>
        <w:rPr>
          <w:b/>
          <w:bCs/>
          <w:sz w:val="32"/>
        </w:rPr>
        <w:t>PROYECTO DE TESIS</w:t>
      </w:r>
    </w:p>
    <w:p w14:paraId="183E4610" w14:textId="77777777" w:rsidR="00CA7350" w:rsidRDefault="00A134DE">
      <w:pPr>
        <w:pStyle w:val="Portada-Centrado"/>
        <w:spacing w:before="0" w:after="360" w:line="276" w:lineRule="auto"/>
      </w:pPr>
      <w:r>
        <w:t> </w:t>
      </w:r>
    </w:p>
    <w:p w14:paraId="2812A230"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6DE4E520" w14:textId="77777777" w:rsidR="00CA7350" w:rsidRDefault="00A134DE">
      <w:pPr>
        <w:pStyle w:val="Portada-Centrado"/>
        <w:spacing w:before="0" w:after="360" w:line="276" w:lineRule="auto"/>
      </w:pPr>
      <w:r>
        <w:t> </w:t>
      </w:r>
    </w:p>
    <w:p w14:paraId="0136E6BA" w14:textId="77777777" w:rsidR="00CA7350" w:rsidRDefault="00A134DE">
      <w:pPr>
        <w:pStyle w:val="Portada-Centrado"/>
        <w:spacing w:after="240" w:line="276" w:lineRule="auto"/>
      </w:pPr>
      <w:r>
        <w:rPr>
          <w:sz w:val="28"/>
        </w:rPr>
        <w:t>PRESENTADO POR:</w:t>
      </w:r>
    </w:p>
    <w:p w14:paraId="323E28D7" w14:textId="77777777" w:rsidR="00CA7350" w:rsidRDefault="00A134DE">
      <w:pPr>
        <w:pStyle w:val="Portada-Centrado"/>
        <w:spacing w:after="140" w:line="276" w:lineRule="auto"/>
      </w:pPr>
      <w:r>
        <w:rPr>
          <w:b/>
          <w:bCs/>
          <w:sz w:val="28"/>
        </w:rPr>
        <w:t>Bach. Cangalaya Carrasco Henry Miguel</w:t>
      </w:r>
    </w:p>
    <w:p w14:paraId="15B18D96" w14:textId="77777777" w:rsidR="00CA7350" w:rsidRPr="006F33B7" w:rsidRDefault="00A134DE">
      <w:pPr>
        <w:pStyle w:val="Portada-Centrado"/>
        <w:spacing w:after="140" w:line="276" w:lineRule="auto"/>
        <w:rPr>
          <w:lang w:val="en-US"/>
        </w:rPr>
      </w:pPr>
      <w:r w:rsidRPr="006F33B7">
        <w:rPr>
          <w:b/>
          <w:bCs/>
          <w:sz w:val="28"/>
          <w:lang w:val="en-US"/>
        </w:rPr>
        <w:t xml:space="preserve">Bach. Guzmán Vargas </w:t>
      </w:r>
      <w:proofErr w:type="spellStart"/>
      <w:r w:rsidRPr="006F33B7">
        <w:rPr>
          <w:b/>
          <w:bCs/>
          <w:sz w:val="28"/>
          <w:lang w:val="en-US"/>
        </w:rPr>
        <w:t>Jhessel</w:t>
      </w:r>
      <w:proofErr w:type="spellEnd"/>
    </w:p>
    <w:p w14:paraId="57916B6D" w14:textId="77777777" w:rsidR="00CA7350" w:rsidRDefault="00A134DE">
      <w:pPr>
        <w:pStyle w:val="Portada-Centrado"/>
        <w:spacing w:after="140" w:line="276" w:lineRule="auto"/>
      </w:pPr>
      <w:r w:rsidRPr="006F33B7">
        <w:rPr>
          <w:b/>
          <w:bCs/>
          <w:sz w:val="28"/>
          <w:lang w:val="en-US"/>
        </w:rPr>
        <w:t xml:space="preserve">Bach. </w:t>
      </w:r>
      <w:r>
        <w:rPr>
          <w:b/>
          <w:bCs/>
          <w:sz w:val="28"/>
        </w:rPr>
        <w:t xml:space="preserve">Yanqui Rivera </w:t>
      </w:r>
      <w:proofErr w:type="spellStart"/>
      <w:r>
        <w:rPr>
          <w:b/>
          <w:bCs/>
          <w:sz w:val="28"/>
        </w:rPr>
        <w:t>Maria</w:t>
      </w:r>
      <w:proofErr w:type="spellEnd"/>
      <w:r>
        <w:rPr>
          <w:b/>
          <w:bCs/>
          <w:sz w:val="28"/>
        </w:rPr>
        <w:t xml:space="preserve"> de los </w:t>
      </w:r>
      <w:proofErr w:type="spellStart"/>
      <w:r>
        <w:rPr>
          <w:b/>
          <w:bCs/>
          <w:sz w:val="28"/>
        </w:rPr>
        <w:t>Angeles</w:t>
      </w:r>
      <w:proofErr w:type="spellEnd"/>
    </w:p>
    <w:p w14:paraId="00D31213" w14:textId="77777777" w:rsidR="00CA7350" w:rsidRDefault="00A134DE">
      <w:pPr>
        <w:pStyle w:val="Portada-Centrado"/>
        <w:spacing w:before="0" w:after="360" w:line="276" w:lineRule="auto"/>
      </w:pPr>
      <w:r>
        <w:t> </w:t>
      </w:r>
    </w:p>
    <w:p w14:paraId="3C691A0D" w14:textId="77777777" w:rsidR="00CA7350" w:rsidRDefault="00A134DE">
      <w:pPr>
        <w:pStyle w:val="Portada-Centrado"/>
        <w:spacing w:before="200" w:after="240" w:line="276" w:lineRule="auto"/>
      </w:pPr>
      <w:r>
        <w:rPr>
          <w:sz w:val="28"/>
        </w:rPr>
        <w:t>PARA OPTAR EL GRADO ACADÉMICO DE:</w:t>
      </w:r>
    </w:p>
    <w:p w14:paraId="27193293" w14:textId="77777777" w:rsidR="00CA7350" w:rsidRDefault="00A134DE">
      <w:pPr>
        <w:pStyle w:val="Portada-Centrado"/>
        <w:spacing w:after="200" w:line="276" w:lineRule="auto"/>
      </w:pPr>
      <w:r>
        <w:rPr>
          <w:b/>
          <w:bCs/>
          <w:sz w:val="32"/>
        </w:rPr>
        <w:t>MAESTRO(A) EN INGENIERÍA DE SOFTWARE</w:t>
      </w:r>
    </w:p>
    <w:p w14:paraId="0CB60C25" w14:textId="77777777" w:rsidR="00CA7350" w:rsidRDefault="00A134DE">
      <w:pPr>
        <w:pStyle w:val="Portada-Centrado"/>
        <w:spacing w:before="0" w:after="360" w:line="276" w:lineRule="auto"/>
      </w:pPr>
      <w:r>
        <w:t> </w:t>
      </w:r>
    </w:p>
    <w:p w14:paraId="3EFC99A5" w14:textId="77777777" w:rsidR="00CA7350" w:rsidRDefault="00A134DE">
      <w:pPr>
        <w:pStyle w:val="Portada-Centrado"/>
        <w:spacing w:line="276" w:lineRule="auto"/>
      </w:pPr>
      <w:r>
        <w:rPr>
          <w:b/>
          <w:bCs/>
          <w:sz w:val="26"/>
        </w:rPr>
        <w:t>LIMA</w:t>
      </w:r>
    </w:p>
    <w:p w14:paraId="7B9F1D3D" w14:textId="77777777" w:rsidR="00CA7350" w:rsidRDefault="00A134DE">
      <w:pPr>
        <w:pStyle w:val="Portada-Centrado"/>
        <w:spacing w:line="276" w:lineRule="auto"/>
      </w:pPr>
      <w:r>
        <w:rPr>
          <w:b/>
          <w:bCs/>
          <w:sz w:val="26"/>
        </w:rPr>
        <w:t>2026</w:t>
      </w:r>
    </w:p>
    <w:p w14:paraId="19150848" w14:textId="77777777" w:rsidR="00962712" w:rsidRDefault="00BF4269">
      <w:pPr>
        <w:pStyle w:val="Ttulo1"/>
        <w:pageBreakBefore/>
      </w:pPr>
      <w:bookmarkStart w:id="0" w:name="índice"/>
      <w:bookmarkStart w:id="1" w:name="_Toc225890717"/>
      <w:r>
        <w:lastRenderedPageBreak/>
        <w:t>Índice</w:t>
      </w:r>
      <w:bookmarkEnd w:id="1"/>
    </w:p>
    <w:p w14:paraId="52458721" w14:textId="03DA8EC4" w:rsidR="00CE222A" w:rsidRDefault="00BF426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890717" w:history="1">
        <w:r w:rsidR="00CE222A" w:rsidRPr="00697BEF">
          <w:rPr>
            <w:rStyle w:val="Hipervnculo"/>
            <w:noProof/>
          </w:rPr>
          <w:t>Índice</w:t>
        </w:r>
        <w:r w:rsidR="00CE222A">
          <w:rPr>
            <w:noProof/>
            <w:webHidden/>
          </w:rPr>
          <w:tab/>
        </w:r>
        <w:r w:rsidR="00CE222A">
          <w:rPr>
            <w:noProof/>
            <w:webHidden/>
          </w:rPr>
          <w:fldChar w:fldCharType="begin"/>
        </w:r>
        <w:r w:rsidR="00CE222A">
          <w:rPr>
            <w:noProof/>
            <w:webHidden/>
          </w:rPr>
          <w:instrText xml:space="preserve"> PAGEREF _Toc225890717 \h </w:instrText>
        </w:r>
        <w:r w:rsidR="00CE222A">
          <w:rPr>
            <w:noProof/>
            <w:webHidden/>
          </w:rPr>
        </w:r>
        <w:r w:rsidR="00CE222A">
          <w:rPr>
            <w:noProof/>
            <w:webHidden/>
          </w:rPr>
          <w:fldChar w:fldCharType="separate"/>
        </w:r>
        <w:r w:rsidR="00CE222A">
          <w:rPr>
            <w:noProof/>
            <w:webHidden/>
          </w:rPr>
          <w:t>2</w:t>
        </w:r>
        <w:r w:rsidR="00CE222A">
          <w:rPr>
            <w:noProof/>
            <w:webHidden/>
          </w:rPr>
          <w:fldChar w:fldCharType="end"/>
        </w:r>
      </w:hyperlink>
    </w:p>
    <w:p w14:paraId="505DE5BD" w14:textId="0929884E" w:rsidR="00CE222A" w:rsidRDefault="00CE222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890718" w:history="1">
        <w:r w:rsidRPr="00697BEF">
          <w:rPr>
            <w:rStyle w:val="Hipervnculo"/>
            <w:noProof/>
          </w:rPr>
          <w:t>Índice de figuras</w:t>
        </w:r>
        <w:r>
          <w:rPr>
            <w:noProof/>
            <w:webHidden/>
          </w:rPr>
          <w:tab/>
        </w:r>
        <w:r>
          <w:rPr>
            <w:noProof/>
            <w:webHidden/>
          </w:rPr>
          <w:fldChar w:fldCharType="begin"/>
        </w:r>
        <w:r>
          <w:rPr>
            <w:noProof/>
            <w:webHidden/>
          </w:rPr>
          <w:instrText xml:space="preserve"> PAGEREF _Toc225890718 \h </w:instrText>
        </w:r>
        <w:r>
          <w:rPr>
            <w:noProof/>
            <w:webHidden/>
          </w:rPr>
        </w:r>
        <w:r>
          <w:rPr>
            <w:noProof/>
            <w:webHidden/>
          </w:rPr>
          <w:fldChar w:fldCharType="separate"/>
        </w:r>
        <w:r>
          <w:rPr>
            <w:noProof/>
            <w:webHidden/>
          </w:rPr>
          <w:t>3</w:t>
        </w:r>
        <w:r>
          <w:rPr>
            <w:noProof/>
            <w:webHidden/>
          </w:rPr>
          <w:fldChar w:fldCharType="end"/>
        </w:r>
      </w:hyperlink>
    </w:p>
    <w:p w14:paraId="3D435AF4" w14:textId="6364CBC0" w:rsidR="00CE222A" w:rsidRDefault="00CE222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890719" w:history="1">
        <w:r w:rsidRPr="00697BEF">
          <w:rPr>
            <w:rStyle w:val="Hipervnculo"/>
            <w:noProof/>
          </w:rPr>
          <w:t>Capítulo I. Planteamiento del estudio</w:t>
        </w:r>
        <w:r>
          <w:rPr>
            <w:noProof/>
            <w:webHidden/>
          </w:rPr>
          <w:tab/>
        </w:r>
        <w:r>
          <w:rPr>
            <w:noProof/>
            <w:webHidden/>
          </w:rPr>
          <w:fldChar w:fldCharType="begin"/>
        </w:r>
        <w:r>
          <w:rPr>
            <w:noProof/>
            <w:webHidden/>
          </w:rPr>
          <w:instrText xml:space="preserve"> PAGEREF _Toc225890719 \h </w:instrText>
        </w:r>
        <w:r>
          <w:rPr>
            <w:noProof/>
            <w:webHidden/>
          </w:rPr>
        </w:r>
        <w:r>
          <w:rPr>
            <w:noProof/>
            <w:webHidden/>
          </w:rPr>
          <w:fldChar w:fldCharType="separate"/>
        </w:r>
        <w:r>
          <w:rPr>
            <w:noProof/>
            <w:webHidden/>
          </w:rPr>
          <w:t>4</w:t>
        </w:r>
        <w:r>
          <w:rPr>
            <w:noProof/>
            <w:webHidden/>
          </w:rPr>
          <w:fldChar w:fldCharType="end"/>
        </w:r>
      </w:hyperlink>
    </w:p>
    <w:p w14:paraId="5C050D91" w14:textId="14EC1E55" w:rsidR="00CE222A" w:rsidRDefault="00CE222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890720" w:history="1">
        <w:r w:rsidRPr="00697BEF">
          <w:rPr>
            <w:rStyle w:val="Hipervnculo"/>
            <w:noProof/>
          </w:rPr>
          <w:t>1.1. Planteamiento y formulación del problema</w:t>
        </w:r>
        <w:r>
          <w:rPr>
            <w:noProof/>
            <w:webHidden/>
          </w:rPr>
          <w:tab/>
        </w:r>
        <w:r>
          <w:rPr>
            <w:noProof/>
            <w:webHidden/>
          </w:rPr>
          <w:fldChar w:fldCharType="begin"/>
        </w:r>
        <w:r>
          <w:rPr>
            <w:noProof/>
            <w:webHidden/>
          </w:rPr>
          <w:instrText xml:space="preserve"> PAGEREF _Toc225890720 \h </w:instrText>
        </w:r>
        <w:r>
          <w:rPr>
            <w:noProof/>
            <w:webHidden/>
          </w:rPr>
        </w:r>
        <w:r>
          <w:rPr>
            <w:noProof/>
            <w:webHidden/>
          </w:rPr>
          <w:fldChar w:fldCharType="separate"/>
        </w:r>
        <w:r>
          <w:rPr>
            <w:noProof/>
            <w:webHidden/>
          </w:rPr>
          <w:t>4</w:t>
        </w:r>
        <w:r>
          <w:rPr>
            <w:noProof/>
            <w:webHidden/>
          </w:rPr>
          <w:fldChar w:fldCharType="end"/>
        </w:r>
      </w:hyperlink>
    </w:p>
    <w:p w14:paraId="48E66617" w14:textId="5F3C07CB"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21" w:history="1">
        <w:r w:rsidRPr="00697BEF">
          <w:rPr>
            <w:rStyle w:val="Hipervnculo"/>
            <w:noProof/>
          </w:rPr>
          <w:t>1.1.1. Planteamiento del problema</w:t>
        </w:r>
        <w:r>
          <w:rPr>
            <w:noProof/>
            <w:webHidden/>
          </w:rPr>
          <w:tab/>
        </w:r>
        <w:r>
          <w:rPr>
            <w:noProof/>
            <w:webHidden/>
          </w:rPr>
          <w:fldChar w:fldCharType="begin"/>
        </w:r>
        <w:r>
          <w:rPr>
            <w:noProof/>
            <w:webHidden/>
          </w:rPr>
          <w:instrText xml:space="preserve"> PAGEREF _Toc225890721 \h </w:instrText>
        </w:r>
        <w:r>
          <w:rPr>
            <w:noProof/>
            <w:webHidden/>
          </w:rPr>
        </w:r>
        <w:r>
          <w:rPr>
            <w:noProof/>
            <w:webHidden/>
          </w:rPr>
          <w:fldChar w:fldCharType="separate"/>
        </w:r>
        <w:r>
          <w:rPr>
            <w:noProof/>
            <w:webHidden/>
          </w:rPr>
          <w:t>4</w:t>
        </w:r>
        <w:r>
          <w:rPr>
            <w:noProof/>
            <w:webHidden/>
          </w:rPr>
          <w:fldChar w:fldCharType="end"/>
        </w:r>
      </w:hyperlink>
    </w:p>
    <w:p w14:paraId="49E76835" w14:textId="384306B2"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22" w:history="1">
        <w:r w:rsidRPr="00697BEF">
          <w:rPr>
            <w:rStyle w:val="Hipervnculo"/>
            <w:noProof/>
          </w:rPr>
          <w:t>1.1.2. Formulación del problema</w:t>
        </w:r>
        <w:r>
          <w:rPr>
            <w:noProof/>
            <w:webHidden/>
          </w:rPr>
          <w:tab/>
        </w:r>
        <w:r>
          <w:rPr>
            <w:noProof/>
            <w:webHidden/>
          </w:rPr>
          <w:fldChar w:fldCharType="begin"/>
        </w:r>
        <w:r>
          <w:rPr>
            <w:noProof/>
            <w:webHidden/>
          </w:rPr>
          <w:instrText xml:space="preserve"> PAGEREF _Toc225890722 \h </w:instrText>
        </w:r>
        <w:r>
          <w:rPr>
            <w:noProof/>
            <w:webHidden/>
          </w:rPr>
        </w:r>
        <w:r>
          <w:rPr>
            <w:noProof/>
            <w:webHidden/>
          </w:rPr>
          <w:fldChar w:fldCharType="separate"/>
        </w:r>
        <w:r>
          <w:rPr>
            <w:noProof/>
            <w:webHidden/>
          </w:rPr>
          <w:t>9</w:t>
        </w:r>
        <w:r>
          <w:rPr>
            <w:noProof/>
            <w:webHidden/>
          </w:rPr>
          <w:fldChar w:fldCharType="end"/>
        </w:r>
      </w:hyperlink>
    </w:p>
    <w:p w14:paraId="4D9589A7" w14:textId="79538030" w:rsidR="00CE222A" w:rsidRDefault="00CE222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890723" w:history="1">
        <w:r w:rsidRPr="00697BEF">
          <w:rPr>
            <w:rStyle w:val="Hipervnculo"/>
            <w:noProof/>
          </w:rPr>
          <w:t>1.2. Determinación de objetivos</w:t>
        </w:r>
        <w:r>
          <w:rPr>
            <w:noProof/>
            <w:webHidden/>
          </w:rPr>
          <w:tab/>
        </w:r>
        <w:r>
          <w:rPr>
            <w:noProof/>
            <w:webHidden/>
          </w:rPr>
          <w:fldChar w:fldCharType="begin"/>
        </w:r>
        <w:r>
          <w:rPr>
            <w:noProof/>
            <w:webHidden/>
          </w:rPr>
          <w:instrText xml:space="preserve"> PAGEREF _Toc225890723 \h </w:instrText>
        </w:r>
        <w:r>
          <w:rPr>
            <w:noProof/>
            <w:webHidden/>
          </w:rPr>
        </w:r>
        <w:r>
          <w:rPr>
            <w:noProof/>
            <w:webHidden/>
          </w:rPr>
          <w:fldChar w:fldCharType="separate"/>
        </w:r>
        <w:r>
          <w:rPr>
            <w:noProof/>
            <w:webHidden/>
          </w:rPr>
          <w:t>11</w:t>
        </w:r>
        <w:r>
          <w:rPr>
            <w:noProof/>
            <w:webHidden/>
          </w:rPr>
          <w:fldChar w:fldCharType="end"/>
        </w:r>
      </w:hyperlink>
    </w:p>
    <w:p w14:paraId="7CCEA1AF" w14:textId="555B5A28"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24" w:history="1">
        <w:r w:rsidRPr="00697BEF">
          <w:rPr>
            <w:rStyle w:val="Hipervnculo"/>
            <w:noProof/>
          </w:rPr>
          <w:t>1.2.1. Objetivo general</w:t>
        </w:r>
        <w:r>
          <w:rPr>
            <w:noProof/>
            <w:webHidden/>
          </w:rPr>
          <w:tab/>
        </w:r>
        <w:r>
          <w:rPr>
            <w:noProof/>
            <w:webHidden/>
          </w:rPr>
          <w:fldChar w:fldCharType="begin"/>
        </w:r>
        <w:r>
          <w:rPr>
            <w:noProof/>
            <w:webHidden/>
          </w:rPr>
          <w:instrText xml:space="preserve"> PAGEREF _Toc225890724 \h </w:instrText>
        </w:r>
        <w:r>
          <w:rPr>
            <w:noProof/>
            <w:webHidden/>
          </w:rPr>
        </w:r>
        <w:r>
          <w:rPr>
            <w:noProof/>
            <w:webHidden/>
          </w:rPr>
          <w:fldChar w:fldCharType="separate"/>
        </w:r>
        <w:r>
          <w:rPr>
            <w:noProof/>
            <w:webHidden/>
          </w:rPr>
          <w:t>11</w:t>
        </w:r>
        <w:r>
          <w:rPr>
            <w:noProof/>
            <w:webHidden/>
          </w:rPr>
          <w:fldChar w:fldCharType="end"/>
        </w:r>
      </w:hyperlink>
    </w:p>
    <w:p w14:paraId="1E1DA47F" w14:textId="5AA7BF3E"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25" w:history="1">
        <w:r w:rsidRPr="00697BEF">
          <w:rPr>
            <w:rStyle w:val="Hipervnculo"/>
            <w:noProof/>
          </w:rPr>
          <w:t>1.2.2. Objetivos específicos</w:t>
        </w:r>
        <w:r>
          <w:rPr>
            <w:noProof/>
            <w:webHidden/>
          </w:rPr>
          <w:tab/>
        </w:r>
        <w:r>
          <w:rPr>
            <w:noProof/>
            <w:webHidden/>
          </w:rPr>
          <w:fldChar w:fldCharType="begin"/>
        </w:r>
        <w:r>
          <w:rPr>
            <w:noProof/>
            <w:webHidden/>
          </w:rPr>
          <w:instrText xml:space="preserve"> PAGEREF _Toc225890725 \h </w:instrText>
        </w:r>
        <w:r>
          <w:rPr>
            <w:noProof/>
            <w:webHidden/>
          </w:rPr>
        </w:r>
        <w:r>
          <w:rPr>
            <w:noProof/>
            <w:webHidden/>
          </w:rPr>
          <w:fldChar w:fldCharType="separate"/>
        </w:r>
        <w:r>
          <w:rPr>
            <w:noProof/>
            <w:webHidden/>
          </w:rPr>
          <w:t>12</w:t>
        </w:r>
        <w:r>
          <w:rPr>
            <w:noProof/>
            <w:webHidden/>
          </w:rPr>
          <w:fldChar w:fldCharType="end"/>
        </w:r>
      </w:hyperlink>
    </w:p>
    <w:p w14:paraId="723C6198" w14:textId="41BA3205" w:rsidR="00CE222A" w:rsidRDefault="00CE222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890726" w:history="1">
        <w:r w:rsidRPr="00697BEF">
          <w:rPr>
            <w:rStyle w:val="Hipervnculo"/>
            <w:noProof/>
          </w:rPr>
          <w:t>1.3. Justificación e importancia del estudio</w:t>
        </w:r>
        <w:r>
          <w:rPr>
            <w:noProof/>
            <w:webHidden/>
          </w:rPr>
          <w:tab/>
        </w:r>
        <w:r>
          <w:rPr>
            <w:noProof/>
            <w:webHidden/>
          </w:rPr>
          <w:fldChar w:fldCharType="begin"/>
        </w:r>
        <w:r>
          <w:rPr>
            <w:noProof/>
            <w:webHidden/>
          </w:rPr>
          <w:instrText xml:space="preserve"> PAGEREF _Toc225890726 \h </w:instrText>
        </w:r>
        <w:r>
          <w:rPr>
            <w:noProof/>
            <w:webHidden/>
          </w:rPr>
        </w:r>
        <w:r>
          <w:rPr>
            <w:noProof/>
            <w:webHidden/>
          </w:rPr>
          <w:fldChar w:fldCharType="separate"/>
        </w:r>
        <w:r>
          <w:rPr>
            <w:noProof/>
            <w:webHidden/>
          </w:rPr>
          <w:t>12</w:t>
        </w:r>
        <w:r>
          <w:rPr>
            <w:noProof/>
            <w:webHidden/>
          </w:rPr>
          <w:fldChar w:fldCharType="end"/>
        </w:r>
      </w:hyperlink>
    </w:p>
    <w:p w14:paraId="1178ECAC" w14:textId="51A8EF91"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27" w:history="1">
        <w:r w:rsidRPr="00697BEF">
          <w:rPr>
            <w:rStyle w:val="Hipervnculo"/>
            <w:noProof/>
          </w:rPr>
          <w:t>1.3.1. Justificación teórica</w:t>
        </w:r>
        <w:r>
          <w:rPr>
            <w:noProof/>
            <w:webHidden/>
          </w:rPr>
          <w:tab/>
        </w:r>
        <w:r>
          <w:rPr>
            <w:noProof/>
            <w:webHidden/>
          </w:rPr>
          <w:fldChar w:fldCharType="begin"/>
        </w:r>
        <w:r>
          <w:rPr>
            <w:noProof/>
            <w:webHidden/>
          </w:rPr>
          <w:instrText xml:space="preserve"> PAGEREF _Toc225890727 \h </w:instrText>
        </w:r>
        <w:r>
          <w:rPr>
            <w:noProof/>
            <w:webHidden/>
          </w:rPr>
        </w:r>
        <w:r>
          <w:rPr>
            <w:noProof/>
            <w:webHidden/>
          </w:rPr>
          <w:fldChar w:fldCharType="separate"/>
        </w:r>
        <w:r>
          <w:rPr>
            <w:noProof/>
            <w:webHidden/>
          </w:rPr>
          <w:t>12</w:t>
        </w:r>
        <w:r>
          <w:rPr>
            <w:noProof/>
            <w:webHidden/>
          </w:rPr>
          <w:fldChar w:fldCharType="end"/>
        </w:r>
      </w:hyperlink>
    </w:p>
    <w:p w14:paraId="671C3E0D" w14:textId="4276A554"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28" w:history="1">
        <w:r w:rsidRPr="00697BEF">
          <w:rPr>
            <w:rStyle w:val="Hipervnculo"/>
            <w:noProof/>
          </w:rPr>
          <w:t>1.3.2. Justificación metodológica</w:t>
        </w:r>
        <w:r>
          <w:rPr>
            <w:noProof/>
            <w:webHidden/>
          </w:rPr>
          <w:tab/>
        </w:r>
        <w:r>
          <w:rPr>
            <w:noProof/>
            <w:webHidden/>
          </w:rPr>
          <w:fldChar w:fldCharType="begin"/>
        </w:r>
        <w:r>
          <w:rPr>
            <w:noProof/>
            <w:webHidden/>
          </w:rPr>
          <w:instrText xml:space="preserve"> PAGEREF _Toc225890728 \h </w:instrText>
        </w:r>
        <w:r>
          <w:rPr>
            <w:noProof/>
            <w:webHidden/>
          </w:rPr>
        </w:r>
        <w:r>
          <w:rPr>
            <w:noProof/>
            <w:webHidden/>
          </w:rPr>
          <w:fldChar w:fldCharType="separate"/>
        </w:r>
        <w:r>
          <w:rPr>
            <w:noProof/>
            <w:webHidden/>
          </w:rPr>
          <w:t>13</w:t>
        </w:r>
        <w:r>
          <w:rPr>
            <w:noProof/>
            <w:webHidden/>
          </w:rPr>
          <w:fldChar w:fldCharType="end"/>
        </w:r>
      </w:hyperlink>
    </w:p>
    <w:p w14:paraId="41856212" w14:textId="1BE53240"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29" w:history="1">
        <w:r w:rsidRPr="00697BEF">
          <w:rPr>
            <w:rStyle w:val="Hipervnculo"/>
            <w:noProof/>
          </w:rPr>
          <w:t>1.3.3. Justificación social</w:t>
        </w:r>
        <w:r>
          <w:rPr>
            <w:noProof/>
            <w:webHidden/>
          </w:rPr>
          <w:tab/>
        </w:r>
        <w:r>
          <w:rPr>
            <w:noProof/>
            <w:webHidden/>
          </w:rPr>
          <w:fldChar w:fldCharType="begin"/>
        </w:r>
        <w:r>
          <w:rPr>
            <w:noProof/>
            <w:webHidden/>
          </w:rPr>
          <w:instrText xml:space="preserve"> PAGEREF _Toc225890729 \h </w:instrText>
        </w:r>
        <w:r>
          <w:rPr>
            <w:noProof/>
            <w:webHidden/>
          </w:rPr>
        </w:r>
        <w:r>
          <w:rPr>
            <w:noProof/>
            <w:webHidden/>
          </w:rPr>
          <w:fldChar w:fldCharType="separate"/>
        </w:r>
        <w:r>
          <w:rPr>
            <w:noProof/>
            <w:webHidden/>
          </w:rPr>
          <w:t>15</w:t>
        </w:r>
        <w:r>
          <w:rPr>
            <w:noProof/>
            <w:webHidden/>
          </w:rPr>
          <w:fldChar w:fldCharType="end"/>
        </w:r>
      </w:hyperlink>
    </w:p>
    <w:p w14:paraId="35103537" w14:textId="2E82F991" w:rsidR="00CE222A" w:rsidRDefault="00CE222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890730" w:history="1">
        <w:r w:rsidRPr="00697BEF">
          <w:rPr>
            <w:rStyle w:val="Hipervnculo"/>
            <w:noProof/>
          </w:rPr>
          <w:t>1.4. Limitaciones de la presente investigación</w:t>
        </w:r>
        <w:r>
          <w:rPr>
            <w:noProof/>
            <w:webHidden/>
          </w:rPr>
          <w:tab/>
        </w:r>
        <w:r>
          <w:rPr>
            <w:noProof/>
            <w:webHidden/>
          </w:rPr>
          <w:fldChar w:fldCharType="begin"/>
        </w:r>
        <w:r>
          <w:rPr>
            <w:noProof/>
            <w:webHidden/>
          </w:rPr>
          <w:instrText xml:space="preserve"> PAGEREF _Toc225890730 \h </w:instrText>
        </w:r>
        <w:r>
          <w:rPr>
            <w:noProof/>
            <w:webHidden/>
          </w:rPr>
        </w:r>
        <w:r>
          <w:rPr>
            <w:noProof/>
            <w:webHidden/>
          </w:rPr>
          <w:fldChar w:fldCharType="separate"/>
        </w:r>
        <w:r>
          <w:rPr>
            <w:noProof/>
            <w:webHidden/>
          </w:rPr>
          <w:t>16</w:t>
        </w:r>
        <w:r>
          <w:rPr>
            <w:noProof/>
            <w:webHidden/>
          </w:rPr>
          <w:fldChar w:fldCharType="end"/>
        </w:r>
      </w:hyperlink>
    </w:p>
    <w:p w14:paraId="49D64F4E" w14:textId="1652DEA1"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31" w:history="1">
        <w:r w:rsidRPr="00697BEF">
          <w:rPr>
            <w:rStyle w:val="Hipervnculo"/>
            <w:noProof/>
          </w:rPr>
          <w:t>1.4.1. Disponibilidad y calidad de los datos</w:t>
        </w:r>
        <w:r>
          <w:rPr>
            <w:noProof/>
            <w:webHidden/>
          </w:rPr>
          <w:tab/>
        </w:r>
        <w:r>
          <w:rPr>
            <w:noProof/>
            <w:webHidden/>
          </w:rPr>
          <w:fldChar w:fldCharType="begin"/>
        </w:r>
        <w:r>
          <w:rPr>
            <w:noProof/>
            <w:webHidden/>
          </w:rPr>
          <w:instrText xml:space="preserve"> PAGEREF _Toc225890731 \h </w:instrText>
        </w:r>
        <w:r>
          <w:rPr>
            <w:noProof/>
            <w:webHidden/>
          </w:rPr>
        </w:r>
        <w:r>
          <w:rPr>
            <w:noProof/>
            <w:webHidden/>
          </w:rPr>
          <w:fldChar w:fldCharType="separate"/>
        </w:r>
        <w:r>
          <w:rPr>
            <w:noProof/>
            <w:webHidden/>
          </w:rPr>
          <w:t>17</w:t>
        </w:r>
        <w:r>
          <w:rPr>
            <w:noProof/>
            <w:webHidden/>
          </w:rPr>
          <w:fldChar w:fldCharType="end"/>
        </w:r>
      </w:hyperlink>
    </w:p>
    <w:p w14:paraId="3DAD3263" w14:textId="45CF4AEB"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32" w:history="1">
        <w:r w:rsidRPr="00697BEF">
          <w:rPr>
            <w:rStyle w:val="Hipervnculo"/>
            <w:noProof/>
          </w:rPr>
          <w:t>1.4.2. Acceso a fuentes de información</w:t>
        </w:r>
        <w:r>
          <w:rPr>
            <w:noProof/>
            <w:webHidden/>
          </w:rPr>
          <w:tab/>
        </w:r>
        <w:r>
          <w:rPr>
            <w:noProof/>
            <w:webHidden/>
          </w:rPr>
          <w:fldChar w:fldCharType="begin"/>
        </w:r>
        <w:r>
          <w:rPr>
            <w:noProof/>
            <w:webHidden/>
          </w:rPr>
          <w:instrText xml:space="preserve"> PAGEREF _Toc225890732 \h </w:instrText>
        </w:r>
        <w:r>
          <w:rPr>
            <w:noProof/>
            <w:webHidden/>
          </w:rPr>
        </w:r>
        <w:r>
          <w:rPr>
            <w:noProof/>
            <w:webHidden/>
          </w:rPr>
          <w:fldChar w:fldCharType="separate"/>
        </w:r>
        <w:r>
          <w:rPr>
            <w:noProof/>
            <w:webHidden/>
          </w:rPr>
          <w:t>17</w:t>
        </w:r>
        <w:r>
          <w:rPr>
            <w:noProof/>
            <w:webHidden/>
          </w:rPr>
          <w:fldChar w:fldCharType="end"/>
        </w:r>
      </w:hyperlink>
    </w:p>
    <w:p w14:paraId="3872CBA5" w14:textId="2FDB549D"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33" w:history="1">
        <w:r w:rsidRPr="00697BEF">
          <w:rPr>
            <w:rStyle w:val="Hipervnculo"/>
            <w:noProof/>
          </w:rPr>
          <w:t>1.4.3. Alcance geográfico</w:t>
        </w:r>
        <w:r>
          <w:rPr>
            <w:noProof/>
            <w:webHidden/>
          </w:rPr>
          <w:tab/>
        </w:r>
        <w:r>
          <w:rPr>
            <w:noProof/>
            <w:webHidden/>
          </w:rPr>
          <w:fldChar w:fldCharType="begin"/>
        </w:r>
        <w:r>
          <w:rPr>
            <w:noProof/>
            <w:webHidden/>
          </w:rPr>
          <w:instrText xml:space="preserve"> PAGEREF _Toc225890733 \h </w:instrText>
        </w:r>
        <w:r>
          <w:rPr>
            <w:noProof/>
            <w:webHidden/>
          </w:rPr>
        </w:r>
        <w:r>
          <w:rPr>
            <w:noProof/>
            <w:webHidden/>
          </w:rPr>
          <w:fldChar w:fldCharType="separate"/>
        </w:r>
        <w:r>
          <w:rPr>
            <w:noProof/>
            <w:webHidden/>
          </w:rPr>
          <w:t>19</w:t>
        </w:r>
        <w:r>
          <w:rPr>
            <w:noProof/>
            <w:webHidden/>
          </w:rPr>
          <w:fldChar w:fldCharType="end"/>
        </w:r>
      </w:hyperlink>
    </w:p>
    <w:p w14:paraId="26FB3DF4" w14:textId="09DE370D"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34" w:history="1">
        <w:r w:rsidRPr="00697BEF">
          <w:rPr>
            <w:rStyle w:val="Hipervnculo"/>
            <w:noProof/>
          </w:rPr>
          <w:t>1.4.4. Limitaciones del modelo de interoperabilidad implementado</w:t>
        </w:r>
        <w:r>
          <w:rPr>
            <w:noProof/>
            <w:webHidden/>
          </w:rPr>
          <w:tab/>
        </w:r>
        <w:r>
          <w:rPr>
            <w:noProof/>
            <w:webHidden/>
          </w:rPr>
          <w:fldChar w:fldCharType="begin"/>
        </w:r>
        <w:r>
          <w:rPr>
            <w:noProof/>
            <w:webHidden/>
          </w:rPr>
          <w:instrText xml:space="preserve"> PAGEREF _Toc225890734 \h </w:instrText>
        </w:r>
        <w:r>
          <w:rPr>
            <w:noProof/>
            <w:webHidden/>
          </w:rPr>
        </w:r>
        <w:r>
          <w:rPr>
            <w:noProof/>
            <w:webHidden/>
          </w:rPr>
          <w:fldChar w:fldCharType="separate"/>
        </w:r>
        <w:r>
          <w:rPr>
            <w:noProof/>
            <w:webHidden/>
          </w:rPr>
          <w:t>19</w:t>
        </w:r>
        <w:r>
          <w:rPr>
            <w:noProof/>
            <w:webHidden/>
          </w:rPr>
          <w:fldChar w:fldCharType="end"/>
        </w:r>
      </w:hyperlink>
    </w:p>
    <w:p w14:paraId="0F847849" w14:textId="730DB3F9"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35" w:history="1">
        <w:r w:rsidRPr="00697BEF">
          <w:rPr>
            <w:rStyle w:val="Hipervnculo"/>
            <w:noProof/>
          </w:rPr>
          <w:t>1.4.5. Variables no identificadas</w:t>
        </w:r>
        <w:r>
          <w:rPr>
            <w:noProof/>
            <w:webHidden/>
          </w:rPr>
          <w:tab/>
        </w:r>
        <w:r>
          <w:rPr>
            <w:noProof/>
            <w:webHidden/>
          </w:rPr>
          <w:fldChar w:fldCharType="begin"/>
        </w:r>
        <w:r>
          <w:rPr>
            <w:noProof/>
            <w:webHidden/>
          </w:rPr>
          <w:instrText xml:space="preserve"> PAGEREF _Toc225890735 \h </w:instrText>
        </w:r>
        <w:r>
          <w:rPr>
            <w:noProof/>
            <w:webHidden/>
          </w:rPr>
        </w:r>
        <w:r>
          <w:rPr>
            <w:noProof/>
            <w:webHidden/>
          </w:rPr>
          <w:fldChar w:fldCharType="separate"/>
        </w:r>
        <w:r>
          <w:rPr>
            <w:noProof/>
            <w:webHidden/>
          </w:rPr>
          <w:t>20</w:t>
        </w:r>
        <w:r>
          <w:rPr>
            <w:noProof/>
            <w:webHidden/>
          </w:rPr>
          <w:fldChar w:fldCharType="end"/>
        </w:r>
      </w:hyperlink>
    </w:p>
    <w:p w14:paraId="6807364C" w14:textId="72195874"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36" w:history="1">
        <w:r w:rsidRPr="00697BEF">
          <w:rPr>
            <w:rStyle w:val="Hipervnculo"/>
            <w:noProof/>
          </w:rPr>
          <w:t>1.4.6. Restricciones de tiempo y recursos</w:t>
        </w:r>
        <w:r>
          <w:rPr>
            <w:noProof/>
            <w:webHidden/>
          </w:rPr>
          <w:tab/>
        </w:r>
        <w:r>
          <w:rPr>
            <w:noProof/>
            <w:webHidden/>
          </w:rPr>
          <w:fldChar w:fldCharType="begin"/>
        </w:r>
        <w:r>
          <w:rPr>
            <w:noProof/>
            <w:webHidden/>
          </w:rPr>
          <w:instrText xml:space="preserve"> PAGEREF _Toc225890736 \h </w:instrText>
        </w:r>
        <w:r>
          <w:rPr>
            <w:noProof/>
            <w:webHidden/>
          </w:rPr>
        </w:r>
        <w:r>
          <w:rPr>
            <w:noProof/>
            <w:webHidden/>
          </w:rPr>
          <w:fldChar w:fldCharType="separate"/>
        </w:r>
        <w:r>
          <w:rPr>
            <w:noProof/>
            <w:webHidden/>
          </w:rPr>
          <w:t>20</w:t>
        </w:r>
        <w:r>
          <w:rPr>
            <w:noProof/>
            <w:webHidden/>
          </w:rPr>
          <w:fldChar w:fldCharType="end"/>
        </w:r>
      </w:hyperlink>
    </w:p>
    <w:p w14:paraId="77BB0122" w14:textId="67EA5D9D" w:rsidR="00CE222A" w:rsidRDefault="00CE222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890737" w:history="1">
        <w:r w:rsidRPr="00697BEF">
          <w:rPr>
            <w:rStyle w:val="Hipervnculo"/>
            <w:noProof/>
          </w:rPr>
          <w:t>Capítulo II. Marco teórico</w:t>
        </w:r>
        <w:r>
          <w:rPr>
            <w:noProof/>
            <w:webHidden/>
          </w:rPr>
          <w:tab/>
        </w:r>
        <w:r>
          <w:rPr>
            <w:noProof/>
            <w:webHidden/>
          </w:rPr>
          <w:fldChar w:fldCharType="begin"/>
        </w:r>
        <w:r>
          <w:rPr>
            <w:noProof/>
            <w:webHidden/>
          </w:rPr>
          <w:instrText xml:space="preserve"> PAGEREF _Toc225890737 \h </w:instrText>
        </w:r>
        <w:r>
          <w:rPr>
            <w:noProof/>
            <w:webHidden/>
          </w:rPr>
        </w:r>
        <w:r>
          <w:rPr>
            <w:noProof/>
            <w:webHidden/>
          </w:rPr>
          <w:fldChar w:fldCharType="separate"/>
        </w:r>
        <w:r>
          <w:rPr>
            <w:noProof/>
            <w:webHidden/>
          </w:rPr>
          <w:t>22</w:t>
        </w:r>
        <w:r>
          <w:rPr>
            <w:noProof/>
            <w:webHidden/>
          </w:rPr>
          <w:fldChar w:fldCharType="end"/>
        </w:r>
      </w:hyperlink>
    </w:p>
    <w:p w14:paraId="5C277B66" w14:textId="63EBA783" w:rsidR="00CE222A" w:rsidRDefault="00CE222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890738" w:history="1">
        <w:r w:rsidRPr="00697BEF">
          <w:rPr>
            <w:rStyle w:val="Hipervnculo"/>
            <w:noProof/>
          </w:rPr>
          <w:t>2.1. Antecedentes del problema</w:t>
        </w:r>
        <w:r>
          <w:rPr>
            <w:noProof/>
            <w:webHidden/>
          </w:rPr>
          <w:tab/>
        </w:r>
        <w:r>
          <w:rPr>
            <w:noProof/>
            <w:webHidden/>
          </w:rPr>
          <w:fldChar w:fldCharType="begin"/>
        </w:r>
        <w:r>
          <w:rPr>
            <w:noProof/>
            <w:webHidden/>
          </w:rPr>
          <w:instrText xml:space="preserve"> PAGEREF _Toc225890738 \h </w:instrText>
        </w:r>
        <w:r>
          <w:rPr>
            <w:noProof/>
            <w:webHidden/>
          </w:rPr>
        </w:r>
        <w:r>
          <w:rPr>
            <w:noProof/>
            <w:webHidden/>
          </w:rPr>
          <w:fldChar w:fldCharType="separate"/>
        </w:r>
        <w:r>
          <w:rPr>
            <w:noProof/>
            <w:webHidden/>
          </w:rPr>
          <w:t>22</w:t>
        </w:r>
        <w:r>
          <w:rPr>
            <w:noProof/>
            <w:webHidden/>
          </w:rPr>
          <w:fldChar w:fldCharType="end"/>
        </w:r>
      </w:hyperlink>
    </w:p>
    <w:p w14:paraId="71B5D03E" w14:textId="51B36228"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39" w:history="1">
        <w:r w:rsidRPr="00697BEF">
          <w:rPr>
            <w:rStyle w:val="Hipervnculo"/>
            <w:noProof/>
          </w:rPr>
          <w:t>2.1.1. Internacionales</w:t>
        </w:r>
        <w:r>
          <w:rPr>
            <w:noProof/>
            <w:webHidden/>
          </w:rPr>
          <w:tab/>
        </w:r>
        <w:r>
          <w:rPr>
            <w:noProof/>
            <w:webHidden/>
          </w:rPr>
          <w:fldChar w:fldCharType="begin"/>
        </w:r>
        <w:r>
          <w:rPr>
            <w:noProof/>
            <w:webHidden/>
          </w:rPr>
          <w:instrText xml:space="preserve"> PAGEREF _Toc225890739 \h </w:instrText>
        </w:r>
        <w:r>
          <w:rPr>
            <w:noProof/>
            <w:webHidden/>
          </w:rPr>
        </w:r>
        <w:r>
          <w:rPr>
            <w:noProof/>
            <w:webHidden/>
          </w:rPr>
          <w:fldChar w:fldCharType="separate"/>
        </w:r>
        <w:r>
          <w:rPr>
            <w:noProof/>
            <w:webHidden/>
          </w:rPr>
          <w:t>22</w:t>
        </w:r>
        <w:r>
          <w:rPr>
            <w:noProof/>
            <w:webHidden/>
          </w:rPr>
          <w:fldChar w:fldCharType="end"/>
        </w:r>
      </w:hyperlink>
    </w:p>
    <w:p w14:paraId="6702D2B5" w14:textId="6F35A3B1"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40" w:history="1">
        <w:r w:rsidRPr="00697BEF">
          <w:rPr>
            <w:rStyle w:val="Hipervnculo"/>
            <w:noProof/>
          </w:rPr>
          <w:t>2.1.2. Nacionales</w:t>
        </w:r>
        <w:r>
          <w:rPr>
            <w:noProof/>
            <w:webHidden/>
          </w:rPr>
          <w:tab/>
        </w:r>
        <w:r>
          <w:rPr>
            <w:noProof/>
            <w:webHidden/>
          </w:rPr>
          <w:fldChar w:fldCharType="begin"/>
        </w:r>
        <w:r>
          <w:rPr>
            <w:noProof/>
            <w:webHidden/>
          </w:rPr>
          <w:instrText xml:space="preserve"> PAGEREF _Toc225890740 \h </w:instrText>
        </w:r>
        <w:r>
          <w:rPr>
            <w:noProof/>
            <w:webHidden/>
          </w:rPr>
        </w:r>
        <w:r>
          <w:rPr>
            <w:noProof/>
            <w:webHidden/>
          </w:rPr>
          <w:fldChar w:fldCharType="separate"/>
        </w:r>
        <w:r>
          <w:rPr>
            <w:noProof/>
            <w:webHidden/>
          </w:rPr>
          <w:t>36</w:t>
        </w:r>
        <w:r>
          <w:rPr>
            <w:noProof/>
            <w:webHidden/>
          </w:rPr>
          <w:fldChar w:fldCharType="end"/>
        </w:r>
      </w:hyperlink>
    </w:p>
    <w:p w14:paraId="725A5114" w14:textId="5B3BCD68"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41" w:history="1">
        <w:r w:rsidRPr="00697BEF">
          <w:rPr>
            <w:rStyle w:val="Hipervnculo"/>
            <w:noProof/>
          </w:rPr>
          <w:t>2.1.3. Síntesis crítica de antecedentes</w:t>
        </w:r>
        <w:r>
          <w:rPr>
            <w:noProof/>
            <w:webHidden/>
          </w:rPr>
          <w:tab/>
        </w:r>
        <w:r>
          <w:rPr>
            <w:noProof/>
            <w:webHidden/>
          </w:rPr>
          <w:fldChar w:fldCharType="begin"/>
        </w:r>
        <w:r>
          <w:rPr>
            <w:noProof/>
            <w:webHidden/>
          </w:rPr>
          <w:instrText xml:space="preserve"> PAGEREF _Toc225890741 \h </w:instrText>
        </w:r>
        <w:r>
          <w:rPr>
            <w:noProof/>
            <w:webHidden/>
          </w:rPr>
        </w:r>
        <w:r>
          <w:rPr>
            <w:noProof/>
            <w:webHidden/>
          </w:rPr>
          <w:fldChar w:fldCharType="separate"/>
        </w:r>
        <w:r>
          <w:rPr>
            <w:noProof/>
            <w:webHidden/>
          </w:rPr>
          <w:t>42</w:t>
        </w:r>
        <w:r>
          <w:rPr>
            <w:noProof/>
            <w:webHidden/>
          </w:rPr>
          <w:fldChar w:fldCharType="end"/>
        </w:r>
      </w:hyperlink>
    </w:p>
    <w:p w14:paraId="0DE5589E" w14:textId="6CE03826" w:rsidR="00CE222A" w:rsidRDefault="00CE222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890742" w:history="1">
        <w:r w:rsidRPr="00697BEF">
          <w:rPr>
            <w:rStyle w:val="Hipervnculo"/>
            <w:noProof/>
          </w:rPr>
          <w:t>2.2. Bases teóricas</w:t>
        </w:r>
        <w:r>
          <w:rPr>
            <w:noProof/>
            <w:webHidden/>
          </w:rPr>
          <w:tab/>
        </w:r>
        <w:r>
          <w:rPr>
            <w:noProof/>
            <w:webHidden/>
          </w:rPr>
          <w:fldChar w:fldCharType="begin"/>
        </w:r>
        <w:r>
          <w:rPr>
            <w:noProof/>
            <w:webHidden/>
          </w:rPr>
          <w:instrText xml:space="preserve"> PAGEREF _Toc225890742 \h </w:instrText>
        </w:r>
        <w:r>
          <w:rPr>
            <w:noProof/>
            <w:webHidden/>
          </w:rPr>
        </w:r>
        <w:r>
          <w:rPr>
            <w:noProof/>
            <w:webHidden/>
          </w:rPr>
          <w:fldChar w:fldCharType="separate"/>
        </w:r>
        <w:r>
          <w:rPr>
            <w:noProof/>
            <w:webHidden/>
          </w:rPr>
          <w:t>44</w:t>
        </w:r>
        <w:r>
          <w:rPr>
            <w:noProof/>
            <w:webHidden/>
          </w:rPr>
          <w:fldChar w:fldCharType="end"/>
        </w:r>
      </w:hyperlink>
    </w:p>
    <w:p w14:paraId="32854BB0" w14:textId="031B1253"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43" w:history="1">
        <w:r w:rsidRPr="00697BEF">
          <w:rPr>
            <w:rStyle w:val="Hipervnculo"/>
            <w:noProof/>
          </w:rPr>
          <w:t>2.2.1. Desarrollo histórico</w:t>
        </w:r>
        <w:r>
          <w:rPr>
            <w:noProof/>
            <w:webHidden/>
          </w:rPr>
          <w:tab/>
        </w:r>
        <w:r>
          <w:rPr>
            <w:noProof/>
            <w:webHidden/>
          </w:rPr>
          <w:fldChar w:fldCharType="begin"/>
        </w:r>
        <w:r>
          <w:rPr>
            <w:noProof/>
            <w:webHidden/>
          </w:rPr>
          <w:instrText xml:space="preserve"> PAGEREF _Toc225890743 \h </w:instrText>
        </w:r>
        <w:r>
          <w:rPr>
            <w:noProof/>
            <w:webHidden/>
          </w:rPr>
        </w:r>
        <w:r>
          <w:rPr>
            <w:noProof/>
            <w:webHidden/>
          </w:rPr>
          <w:fldChar w:fldCharType="separate"/>
        </w:r>
        <w:r>
          <w:rPr>
            <w:noProof/>
            <w:webHidden/>
          </w:rPr>
          <w:t>44</w:t>
        </w:r>
        <w:r>
          <w:rPr>
            <w:noProof/>
            <w:webHidden/>
          </w:rPr>
          <w:fldChar w:fldCharType="end"/>
        </w:r>
      </w:hyperlink>
    </w:p>
    <w:p w14:paraId="3EB571CF" w14:textId="08FE0B6D"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44" w:history="1">
        <w:r w:rsidRPr="00697BEF">
          <w:rPr>
            <w:rStyle w:val="Hipervnculo"/>
            <w:noProof/>
          </w:rPr>
          <w:t>2.2.2. Fundamentación teórica</w:t>
        </w:r>
        <w:r>
          <w:rPr>
            <w:noProof/>
            <w:webHidden/>
          </w:rPr>
          <w:tab/>
        </w:r>
        <w:r>
          <w:rPr>
            <w:noProof/>
            <w:webHidden/>
          </w:rPr>
          <w:fldChar w:fldCharType="begin"/>
        </w:r>
        <w:r>
          <w:rPr>
            <w:noProof/>
            <w:webHidden/>
          </w:rPr>
          <w:instrText xml:space="preserve"> PAGEREF _Toc225890744 \h </w:instrText>
        </w:r>
        <w:r>
          <w:rPr>
            <w:noProof/>
            <w:webHidden/>
          </w:rPr>
        </w:r>
        <w:r>
          <w:rPr>
            <w:noProof/>
            <w:webHidden/>
          </w:rPr>
          <w:fldChar w:fldCharType="separate"/>
        </w:r>
        <w:r>
          <w:rPr>
            <w:noProof/>
            <w:webHidden/>
          </w:rPr>
          <w:t>46</w:t>
        </w:r>
        <w:r>
          <w:rPr>
            <w:noProof/>
            <w:webHidden/>
          </w:rPr>
          <w:fldChar w:fldCharType="end"/>
        </w:r>
      </w:hyperlink>
    </w:p>
    <w:p w14:paraId="51DBE7FE" w14:textId="15653FA4"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45" w:history="1">
        <w:r w:rsidRPr="00697BEF">
          <w:rPr>
            <w:rStyle w:val="Hipervnculo"/>
            <w:noProof/>
          </w:rPr>
          <w:t>2.2.3. Marco conceptual</w:t>
        </w:r>
        <w:r>
          <w:rPr>
            <w:noProof/>
            <w:webHidden/>
          </w:rPr>
          <w:tab/>
        </w:r>
        <w:r>
          <w:rPr>
            <w:noProof/>
            <w:webHidden/>
          </w:rPr>
          <w:fldChar w:fldCharType="begin"/>
        </w:r>
        <w:r>
          <w:rPr>
            <w:noProof/>
            <w:webHidden/>
          </w:rPr>
          <w:instrText xml:space="preserve"> PAGEREF _Toc225890745 \h </w:instrText>
        </w:r>
        <w:r>
          <w:rPr>
            <w:noProof/>
            <w:webHidden/>
          </w:rPr>
        </w:r>
        <w:r>
          <w:rPr>
            <w:noProof/>
            <w:webHidden/>
          </w:rPr>
          <w:fldChar w:fldCharType="separate"/>
        </w:r>
        <w:r>
          <w:rPr>
            <w:noProof/>
            <w:webHidden/>
          </w:rPr>
          <w:t>55</w:t>
        </w:r>
        <w:r>
          <w:rPr>
            <w:noProof/>
            <w:webHidden/>
          </w:rPr>
          <w:fldChar w:fldCharType="end"/>
        </w:r>
      </w:hyperlink>
    </w:p>
    <w:p w14:paraId="7C5FD449" w14:textId="0C36977F" w:rsidR="00CE222A" w:rsidRDefault="00CE222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890746" w:history="1">
        <w:r w:rsidRPr="00697BEF">
          <w:rPr>
            <w:rStyle w:val="Hipervnculo"/>
            <w:noProof/>
          </w:rPr>
          <w:t>2.3. Definición de términos básicos</w:t>
        </w:r>
        <w:r>
          <w:rPr>
            <w:noProof/>
            <w:webHidden/>
          </w:rPr>
          <w:tab/>
        </w:r>
        <w:r>
          <w:rPr>
            <w:noProof/>
            <w:webHidden/>
          </w:rPr>
          <w:fldChar w:fldCharType="begin"/>
        </w:r>
        <w:r>
          <w:rPr>
            <w:noProof/>
            <w:webHidden/>
          </w:rPr>
          <w:instrText xml:space="preserve"> PAGEREF _Toc225890746 \h </w:instrText>
        </w:r>
        <w:r>
          <w:rPr>
            <w:noProof/>
            <w:webHidden/>
          </w:rPr>
        </w:r>
        <w:r>
          <w:rPr>
            <w:noProof/>
            <w:webHidden/>
          </w:rPr>
          <w:fldChar w:fldCharType="separate"/>
        </w:r>
        <w:r>
          <w:rPr>
            <w:noProof/>
            <w:webHidden/>
          </w:rPr>
          <w:t>57</w:t>
        </w:r>
        <w:r>
          <w:rPr>
            <w:noProof/>
            <w:webHidden/>
          </w:rPr>
          <w:fldChar w:fldCharType="end"/>
        </w:r>
      </w:hyperlink>
    </w:p>
    <w:p w14:paraId="035FECA2" w14:textId="3837FD0B" w:rsidR="00CE222A" w:rsidRDefault="00CE222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890747" w:history="1">
        <w:r w:rsidRPr="00697BEF">
          <w:rPr>
            <w:rStyle w:val="Hipervnculo"/>
            <w:noProof/>
          </w:rPr>
          <w:t>2.3.1. Definiciones operacionales de los indicadores de calidad del intercambio</w:t>
        </w:r>
        <w:r>
          <w:rPr>
            <w:noProof/>
            <w:webHidden/>
          </w:rPr>
          <w:tab/>
        </w:r>
        <w:r>
          <w:rPr>
            <w:noProof/>
            <w:webHidden/>
          </w:rPr>
          <w:fldChar w:fldCharType="begin"/>
        </w:r>
        <w:r>
          <w:rPr>
            <w:noProof/>
            <w:webHidden/>
          </w:rPr>
          <w:instrText xml:space="preserve"> PAGEREF _Toc225890747 \h </w:instrText>
        </w:r>
        <w:r>
          <w:rPr>
            <w:noProof/>
            <w:webHidden/>
          </w:rPr>
        </w:r>
        <w:r>
          <w:rPr>
            <w:noProof/>
            <w:webHidden/>
          </w:rPr>
          <w:fldChar w:fldCharType="separate"/>
        </w:r>
        <w:r>
          <w:rPr>
            <w:noProof/>
            <w:webHidden/>
          </w:rPr>
          <w:t>62</w:t>
        </w:r>
        <w:r>
          <w:rPr>
            <w:noProof/>
            <w:webHidden/>
          </w:rPr>
          <w:fldChar w:fldCharType="end"/>
        </w:r>
      </w:hyperlink>
    </w:p>
    <w:p w14:paraId="1205BCED" w14:textId="547C7ABB" w:rsidR="00CE222A" w:rsidRDefault="00CE222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890748" w:history="1">
        <w:r w:rsidRPr="00697BEF">
          <w:rPr>
            <w:rStyle w:val="Hipervnculo"/>
            <w:noProof/>
            <w:lang w:val="en-US"/>
          </w:rPr>
          <w:t>Referencias</w:t>
        </w:r>
        <w:r>
          <w:rPr>
            <w:noProof/>
            <w:webHidden/>
          </w:rPr>
          <w:tab/>
        </w:r>
        <w:r>
          <w:rPr>
            <w:noProof/>
            <w:webHidden/>
          </w:rPr>
          <w:fldChar w:fldCharType="begin"/>
        </w:r>
        <w:r>
          <w:rPr>
            <w:noProof/>
            <w:webHidden/>
          </w:rPr>
          <w:instrText xml:space="preserve"> PAGEREF _Toc225890748 \h </w:instrText>
        </w:r>
        <w:r>
          <w:rPr>
            <w:noProof/>
            <w:webHidden/>
          </w:rPr>
        </w:r>
        <w:r>
          <w:rPr>
            <w:noProof/>
            <w:webHidden/>
          </w:rPr>
          <w:fldChar w:fldCharType="separate"/>
        </w:r>
        <w:r>
          <w:rPr>
            <w:noProof/>
            <w:webHidden/>
          </w:rPr>
          <w:t>64</w:t>
        </w:r>
        <w:r>
          <w:rPr>
            <w:noProof/>
            <w:webHidden/>
          </w:rPr>
          <w:fldChar w:fldCharType="end"/>
        </w:r>
      </w:hyperlink>
    </w:p>
    <w:p w14:paraId="37022D37" w14:textId="012D7AD0" w:rsidR="00962712" w:rsidRDefault="00BF4269">
      <w:r>
        <w:fldChar w:fldCharType="end"/>
      </w:r>
    </w:p>
    <w:p w14:paraId="10D6CEBF" w14:textId="77777777" w:rsidR="00962712" w:rsidRDefault="00BF4269">
      <w:pPr>
        <w:pStyle w:val="Ttulo1"/>
        <w:pageBreakBefore/>
      </w:pPr>
      <w:bookmarkStart w:id="2" w:name="índice-de-figuras"/>
      <w:bookmarkStart w:id="3" w:name="_Toc225890718"/>
      <w:bookmarkEnd w:id="0"/>
      <w:r>
        <w:lastRenderedPageBreak/>
        <w:t>Índice de figuras</w:t>
      </w:r>
      <w:bookmarkEnd w:id="3"/>
    </w:p>
    <w:p w14:paraId="074D0B79" w14:textId="18AD0070" w:rsidR="00F45D69" w:rsidRDefault="00BF42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"Figure"</w:instrText>
      </w:r>
      <w:r>
        <w:fldChar w:fldCharType="separate"/>
      </w:r>
      <w:hyperlink w:anchor="_Toc225890356" w:history="1">
        <w:r w:rsidR="00F45D69" w:rsidRPr="00424DFF">
          <w:rPr>
            <w:rStyle w:val="Hipervnculo"/>
            <w:i/>
            <w:noProof/>
          </w:rPr>
          <w:t xml:space="preserve">Figura </w:t>
        </w:r>
        <w:r w:rsidR="00F45D69" w:rsidRPr="00424DFF">
          <w:rPr>
            <w:rStyle w:val="Hipervnculo"/>
            <w:noProof/>
          </w:rPr>
          <w:t>1</w:t>
        </w:r>
        <w:r w:rsidR="00F45D69" w:rsidRPr="00424DFF">
          <w:rPr>
            <w:rStyle w:val="Hipervnculo"/>
            <w:i/>
            <w:noProof/>
          </w:rPr>
          <w:t>. Marco normativo peruano para la interoperabilidad en salud</w:t>
        </w:r>
        <w:r w:rsidR="00F45D69">
          <w:rPr>
            <w:noProof/>
            <w:webHidden/>
          </w:rPr>
          <w:tab/>
        </w:r>
        <w:r w:rsidR="00F45D69">
          <w:rPr>
            <w:noProof/>
            <w:webHidden/>
          </w:rPr>
          <w:fldChar w:fldCharType="begin"/>
        </w:r>
        <w:r w:rsidR="00F45D69">
          <w:rPr>
            <w:noProof/>
            <w:webHidden/>
          </w:rPr>
          <w:instrText xml:space="preserve"> PAGEREF _Toc225890356 \h </w:instrText>
        </w:r>
        <w:r w:rsidR="00F45D69">
          <w:rPr>
            <w:noProof/>
            <w:webHidden/>
          </w:rPr>
        </w:r>
        <w:r w:rsidR="00F45D69">
          <w:rPr>
            <w:noProof/>
            <w:webHidden/>
          </w:rPr>
          <w:fldChar w:fldCharType="separate"/>
        </w:r>
        <w:r w:rsidR="00F45D69">
          <w:rPr>
            <w:noProof/>
            <w:webHidden/>
          </w:rPr>
          <w:t>12</w:t>
        </w:r>
        <w:r w:rsidR="00F45D69">
          <w:rPr>
            <w:noProof/>
            <w:webHidden/>
          </w:rPr>
          <w:fldChar w:fldCharType="end"/>
        </w:r>
      </w:hyperlink>
    </w:p>
    <w:p w14:paraId="31BDD987" w14:textId="6E0EC88A"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57" w:history="1">
        <w:r w:rsidRPr="00424DFF">
          <w:rPr>
            <w:rStyle w:val="Hipervnculo"/>
            <w:i/>
            <w:noProof/>
          </w:rPr>
          <w:t xml:space="preserve">Figura </w:t>
        </w:r>
        <w:r w:rsidRPr="00424DFF">
          <w:rPr>
            <w:rStyle w:val="Hipervnculo"/>
            <w:noProof/>
          </w:rPr>
          <w:t>2</w:t>
        </w:r>
        <w:r w:rsidRPr="00424DFF">
          <w:rPr>
            <w:rStyle w:val="Hipervnculo"/>
            <w:i/>
            <w:noProof/>
          </w:rPr>
          <w:t>. Brechas de interoperabilidad identificadas en centros de salud del MINSA</w:t>
        </w:r>
        <w:r>
          <w:rPr>
            <w:noProof/>
            <w:webHidden/>
          </w:rPr>
          <w:tab/>
        </w:r>
        <w:r>
          <w:rPr>
            <w:noProof/>
            <w:webHidden/>
          </w:rPr>
          <w:fldChar w:fldCharType="begin"/>
        </w:r>
        <w:r>
          <w:rPr>
            <w:noProof/>
            <w:webHidden/>
          </w:rPr>
          <w:instrText xml:space="preserve"> PAGEREF _Toc225890357 \h </w:instrText>
        </w:r>
        <w:r>
          <w:rPr>
            <w:noProof/>
            <w:webHidden/>
          </w:rPr>
        </w:r>
        <w:r>
          <w:rPr>
            <w:noProof/>
            <w:webHidden/>
          </w:rPr>
          <w:fldChar w:fldCharType="separate"/>
        </w:r>
        <w:r>
          <w:rPr>
            <w:noProof/>
            <w:webHidden/>
          </w:rPr>
          <w:t>13</w:t>
        </w:r>
        <w:r>
          <w:rPr>
            <w:noProof/>
            <w:webHidden/>
          </w:rPr>
          <w:fldChar w:fldCharType="end"/>
        </w:r>
      </w:hyperlink>
    </w:p>
    <w:p w14:paraId="5B4EEF33" w14:textId="7F816906"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58" w:history="1">
        <w:r w:rsidRPr="00424DFF">
          <w:rPr>
            <w:rStyle w:val="Hipervnculo"/>
            <w:i/>
            <w:noProof/>
          </w:rPr>
          <w:t xml:space="preserve">Figura </w:t>
        </w:r>
        <w:r w:rsidRPr="00424DFF">
          <w:rPr>
            <w:rStyle w:val="Hipervnculo"/>
            <w:noProof/>
          </w:rPr>
          <w:t>3</w:t>
        </w:r>
        <w:r w:rsidRPr="00424DFF">
          <w:rPr>
            <w:rStyle w:val="Hipervnculo"/>
            <w:i/>
            <w:noProof/>
          </w:rPr>
          <w:t>. Panorama cuantitativo de la interoperabilidad en el sistema de salud peruano</w:t>
        </w:r>
        <w:r>
          <w:rPr>
            <w:noProof/>
            <w:webHidden/>
          </w:rPr>
          <w:tab/>
        </w:r>
        <w:r>
          <w:rPr>
            <w:noProof/>
            <w:webHidden/>
          </w:rPr>
          <w:fldChar w:fldCharType="begin"/>
        </w:r>
        <w:r>
          <w:rPr>
            <w:noProof/>
            <w:webHidden/>
          </w:rPr>
          <w:instrText xml:space="preserve"> PAGEREF _Toc225890358 \h </w:instrText>
        </w:r>
        <w:r>
          <w:rPr>
            <w:noProof/>
            <w:webHidden/>
          </w:rPr>
        </w:r>
        <w:r>
          <w:rPr>
            <w:noProof/>
            <w:webHidden/>
          </w:rPr>
          <w:fldChar w:fldCharType="separate"/>
        </w:r>
        <w:r>
          <w:rPr>
            <w:noProof/>
            <w:webHidden/>
          </w:rPr>
          <w:t>15</w:t>
        </w:r>
        <w:r>
          <w:rPr>
            <w:noProof/>
            <w:webHidden/>
          </w:rPr>
          <w:fldChar w:fldCharType="end"/>
        </w:r>
      </w:hyperlink>
    </w:p>
    <w:p w14:paraId="7E3B6B96" w14:textId="7F7A88C1"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59" w:history="1">
        <w:r w:rsidRPr="00424DFF">
          <w:rPr>
            <w:rStyle w:val="Hipervnculo"/>
            <w:i/>
            <w:noProof/>
          </w:rPr>
          <w:t xml:space="preserve">Figura </w:t>
        </w:r>
        <w:r w:rsidRPr="00424DFF">
          <w:rPr>
            <w:rStyle w:val="Hipervnculo"/>
            <w:noProof/>
          </w:rPr>
          <w:t>4</w:t>
        </w:r>
        <w:r w:rsidRPr="00424DFF">
          <w:rPr>
            <w:rStyle w:val="Hipervnculo"/>
            <w:i/>
            <w:noProof/>
          </w:rPr>
          <w:t>. Alineación entre problemas específicos y objetivos específicos</w:t>
        </w:r>
        <w:r>
          <w:rPr>
            <w:noProof/>
            <w:webHidden/>
          </w:rPr>
          <w:tab/>
        </w:r>
        <w:r>
          <w:rPr>
            <w:noProof/>
            <w:webHidden/>
          </w:rPr>
          <w:fldChar w:fldCharType="begin"/>
        </w:r>
        <w:r>
          <w:rPr>
            <w:noProof/>
            <w:webHidden/>
          </w:rPr>
          <w:instrText xml:space="preserve"> PAGEREF _Toc225890359 \h </w:instrText>
        </w:r>
        <w:r>
          <w:rPr>
            <w:noProof/>
            <w:webHidden/>
          </w:rPr>
        </w:r>
        <w:r>
          <w:rPr>
            <w:noProof/>
            <w:webHidden/>
          </w:rPr>
          <w:fldChar w:fldCharType="separate"/>
        </w:r>
        <w:r>
          <w:rPr>
            <w:noProof/>
            <w:webHidden/>
          </w:rPr>
          <w:t>17</w:t>
        </w:r>
        <w:r>
          <w:rPr>
            <w:noProof/>
            <w:webHidden/>
          </w:rPr>
          <w:fldChar w:fldCharType="end"/>
        </w:r>
      </w:hyperlink>
    </w:p>
    <w:p w14:paraId="489B678E" w14:textId="36352D8D"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60" w:history="1">
        <w:r w:rsidRPr="00424DFF">
          <w:rPr>
            <w:rStyle w:val="Hipervnculo"/>
            <w:i/>
            <w:noProof/>
          </w:rPr>
          <w:t xml:space="preserve">Figura </w:t>
        </w:r>
        <w:r w:rsidRPr="00424DFF">
          <w:rPr>
            <w:rStyle w:val="Hipervnculo"/>
            <w:noProof/>
          </w:rPr>
          <w:t>5</w:t>
        </w:r>
        <w:r w:rsidRPr="00424DFF">
          <w:rPr>
            <w:rStyle w:val="Hipervnculo"/>
            <w:i/>
            <w:noProof/>
          </w:rPr>
          <w:t>. Fases del enfoque metodológico</w:t>
        </w:r>
        <w:r>
          <w:rPr>
            <w:noProof/>
            <w:webHidden/>
          </w:rPr>
          <w:tab/>
        </w:r>
        <w:r>
          <w:rPr>
            <w:noProof/>
            <w:webHidden/>
          </w:rPr>
          <w:fldChar w:fldCharType="begin"/>
        </w:r>
        <w:r>
          <w:rPr>
            <w:noProof/>
            <w:webHidden/>
          </w:rPr>
          <w:instrText xml:space="preserve"> PAGEREF _Toc225890360 \h </w:instrText>
        </w:r>
        <w:r>
          <w:rPr>
            <w:noProof/>
            <w:webHidden/>
          </w:rPr>
        </w:r>
        <w:r>
          <w:rPr>
            <w:noProof/>
            <w:webHidden/>
          </w:rPr>
          <w:fldChar w:fldCharType="separate"/>
        </w:r>
        <w:r>
          <w:rPr>
            <w:noProof/>
            <w:webHidden/>
          </w:rPr>
          <w:t>21</w:t>
        </w:r>
        <w:r>
          <w:rPr>
            <w:noProof/>
            <w:webHidden/>
          </w:rPr>
          <w:fldChar w:fldCharType="end"/>
        </w:r>
      </w:hyperlink>
    </w:p>
    <w:p w14:paraId="0CE09B6A" w14:textId="67E1CD21"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61" w:history="1">
        <w:r w:rsidRPr="00424DFF">
          <w:rPr>
            <w:rStyle w:val="Hipervnculo"/>
            <w:i/>
            <w:noProof/>
          </w:rPr>
          <w:t xml:space="preserve">Figura </w:t>
        </w:r>
        <w:r w:rsidRPr="00424DFF">
          <w:rPr>
            <w:rStyle w:val="Hipervnculo"/>
            <w:noProof/>
          </w:rPr>
          <w:t>6</w:t>
        </w:r>
        <w:r w:rsidRPr="00424DFF">
          <w:rPr>
            <w:rStyle w:val="Hipervnculo"/>
            <w:i/>
            <w:noProof/>
          </w:rPr>
          <w:t>. Limitaciones de la investigación y estrategias de mitigación</w:t>
        </w:r>
        <w:r>
          <w:rPr>
            <w:noProof/>
            <w:webHidden/>
          </w:rPr>
          <w:tab/>
        </w:r>
        <w:r>
          <w:rPr>
            <w:noProof/>
            <w:webHidden/>
          </w:rPr>
          <w:fldChar w:fldCharType="begin"/>
        </w:r>
        <w:r>
          <w:rPr>
            <w:noProof/>
            <w:webHidden/>
          </w:rPr>
          <w:instrText xml:space="preserve"> PAGEREF _Toc225890361 \h </w:instrText>
        </w:r>
        <w:r>
          <w:rPr>
            <w:noProof/>
            <w:webHidden/>
          </w:rPr>
        </w:r>
        <w:r>
          <w:rPr>
            <w:noProof/>
            <w:webHidden/>
          </w:rPr>
          <w:fldChar w:fldCharType="separate"/>
        </w:r>
        <w:r>
          <w:rPr>
            <w:noProof/>
            <w:webHidden/>
          </w:rPr>
          <w:t>23</w:t>
        </w:r>
        <w:r>
          <w:rPr>
            <w:noProof/>
            <w:webHidden/>
          </w:rPr>
          <w:fldChar w:fldCharType="end"/>
        </w:r>
      </w:hyperlink>
    </w:p>
    <w:p w14:paraId="1FB6E968" w14:textId="4CC7266B"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62" w:history="1">
        <w:r w:rsidRPr="00424DFF">
          <w:rPr>
            <w:rStyle w:val="Hipervnculo"/>
            <w:i/>
            <w:noProof/>
          </w:rPr>
          <w:t xml:space="preserve">Figura </w:t>
        </w:r>
        <w:r w:rsidRPr="00424DFF">
          <w:rPr>
            <w:rStyle w:val="Hipervnculo"/>
            <w:noProof/>
          </w:rPr>
          <w:t>7</w:t>
        </w:r>
        <w:r w:rsidRPr="00424DFF">
          <w:rPr>
            <w:rStyle w:val="Hipervnculo"/>
            <w:i/>
            <w:noProof/>
          </w:rPr>
          <w:t>. Evolución de estándares de interoperabilidad clínica</w:t>
        </w:r>
        <w:r>
          <w:rPr>
            <w:noProof/>
            <w:webHidden/>
          </w:rPr>
          <w:tab/>
        </w:r>
        <w:r>
          <w:rPr>
            <w:noProof/>
            <w:webHidden/>
          </w:rPr>
          <w:fldChar w:fldCharType="begin"/>
        </w:r>
        <w:r>
          <w:rPr>
            <w:noProof/>
            <w:webHidden/>
          </w:rPr>
          <w:instrText xml:space="preserve"> PAGEREF _Toc225890362 \h </w:instrText>
        </w:r>
        <w:r>
          <w:rPr>
            <w:noProof/>
            <w:webHidden/>
          </w:rPr>
        </w:r>
        <w:r>
          <w:rPr>
            <w:noProof/>
            <w:webHidden/>
          </w:rPr>
          <w:fldChar w:fldCharType="separate"/>
        </w:r>
        <w:r>
          <w:rPr>
            <w:noProof/>
            <w:webHidden/>
          </w:rPr>
          <w:t>52</w:t>
        </w:r>
        <w:r>
          <w:rPr>
            <w:noProof/>
            <w:webHidden/>
          </w:rPr>
          <w:fldChar w:fldCharType="end"/>
        </w:r>
      </w:hyperlink>
    </w:p>
    <w:p w14:paraId="47250197" w14:textId="6A298A6E"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63" w:history="1">
        <w:r w:rsidRPr="00424DFF">
          <w:rPr>
            <w:rStyle w:val="Hipervnculo"/>
            <w:i/>
            <w:noProof/>
          </w:rPr>
          <w:t xml:space="preserve">Figura </w:t>
        </w:r>
        <w:r w:rsidRPr="00424DFF">
          <w:rPr>
            <w:rStyle w:val="Hipervnculo"/>
            <w:noProof/>
          </w:rPr>
          <w:t>8</w:t>
        </w:r>
        <w:r w:rsidRPr="00424DFF">
          <w:rPr>
            <w:rStyle w:val="Hipervnculo"/>
            <w:i/>
            <w:noProof/>
          </w:rPr>
          <w:t>. Enfoques teóricos que sustentan la investigación</w:t>
        </w:r>
        <w:r>
          <w:rPr>
            <w:noProof/>
            <w:webHidden/>
          </w:rPr>
          <w:tab/>
        </w:r>
        <w:r>
          <w:rPr>
            <w:noProof/>
            <w:webHidden/>
          </w:rPr>
          <w:fldChar w:fldCharType="begin"/>
        </w:r>
        <w:r>
          <w:rPr>
            <w:noProof/>
            <w:webHidden/>
          </w:rPr>
          <w:instrText xml:space="preserve"> PAGEREF _Toc225890363 \h </w:instrText>
        </w:r>
        <w:r>
          <w:rPr>
            <w:noProof/>
            <w:webHidden/>
          </w:rPr>
        </w:r>
        <w:r>
          <w:rPr>
            <w:noProof/>
            <w:webHidden/>
          </w:rPr>
          <w:fldChar w:fldCharType="separate"/>
        </w:r>
        <w:r>
          <w:rPr>
            <w:noProof/>
            <w:webHidden/>
          </w:rPr>
          <w:t>53</w:t>
        </w:r>
        <w:r>
          <w:rPr>
            <w:noProof/>
            <w:webHidden/>
          </w:rPr>
          <w:fldChar w:fldCharType="end"/>
        </w:r>
      </w:hyperlink>
    </w:p>
    <w:p w14:paraId="71BACA48" w14:textId="4E68FD2F"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64" w:history="1">
        <w:r w:rsidRPr="00424DFF">
          <w:rPr>
            <w:rStyle w:val="Hipervnculo"/>
            <w:i/>
            <w:noProof/>
          </w:rPr>
          <w:t xml:space="preserve">Figura </w:t>
        </w:r>
        <w:r w:rsidRPr="00424DFF">
          <w:rPr>
            <w:rStyle w:val="Hipervnculo"/>
            <w:noProof/>
          </w:rPr>
          <w:t>9</w:t>
        </w:r>
        <w:r w:rsidRPr="00424DFF">
          <w:rPr>
            <w:rStyle w:val="Hipervnculo"/>
            <w:i/>
            <w:noProof/>
          </w:rPr>
          <w:t>. Niveles de interoperabilidad en salud según HIMSS</w:t>
        </w:r>
        <w:r>
          <w:rPr>
            <w:noProof/>
            <w:webHidden/>
          </w:rPr>
          <w:tab/>
        </w:r>
        <w:r>
          <w:rPr>
            <w:noProof/>
            <w:webHidden/>
          </w:rPr>
          <w:fldChar w:fldCharType="begin"/>
        </w:r>
        <w:r>
          <w:rPr>
            <w:noProof/>
            <w:webHidden/>
          </w:rPr>
          <w:instrText xml:space="preserve"> PAGEREF _Toc225890364 \h </w:instrText>
        </w:r>
        <w:r>
          <w:rPr>
            <w:noProof/>
            <w:webHidden/>
          </w:rPr>
        </w:r>
        <w:r>
          <w:rPr>
            <w:noProof/>
            <w:webHidden/>
          </w:rPr>
          <w:fldChar w:fldCharType="separate"/>
        </w:r>
        <w:r>
          <w:rPr>
            <w:noProof/>
            <w:webHidden/>
          </w:rPr>
          <w:t>55</w:t>
        </w:r>
        <w:r>
          <w:rPr>
            <w:noProof/>
            <w:webHidden/>
          </w:rPr>
          <w:fldChar w:fldCharType="end"/>
        </w:r>
      </w:hyperlink>
    </w:p>
    <w:p w14:paraId="25EF107D" w14:textId="3A4B8942"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65" w:history="1">
        <w:r w:rsidRPr="00424DFF">
          <w:rPr>
            <w:rStyle w:val="Hipervnculo"/>
            <w:i/>
            <w:noProof/>
          </w:rPr>
          <w:t xml:space="preserve">Figura </w:t>
        </w:r>
        <w:r w:rsidRPr="00424DFF">
          <w:rPr>
            <w:rStyle w:val="Hipervnculo"/>
            <w:noProof/>
          </w:rPr>
          <w:t>10</w:t>
        </w:r>
        <w:r w:rsidRPr="00424DFF">
          <w:rPr>
            <w:rStyle w:val="Hipervnculo"/>
            <w:i/>
            <w:noProof/>
          </w:rPr>
          <w:t>. Recursos FHIR principales y sus relaciones</w:t>
        </w:r>
        <w:r>
          <w:rPr>
            <w:noProof/>
            <w:webHidden/>
          </w:rPr>
          <w:tab/>
        </w:r>
        <w:r>
          <w:rPr>
            <w:noProof/>
            <w:webHidden/>
          </w:rPr>
          <w:fldChar w:fldCharType="begin"/>
        </w:r>
        <w:r>
          <w:rPr>
            <w:noProof/>
            <w:webHidden/>
          </w:rPr>
          <w:instrText xml:space="preserve"> PAGEREF _Toc225890365 \h </w:instrText>
        </w:r>
        <w:r>
          <w:rPr>
            <w:noProof/>
            <w:webHidden/>
          </w:rPr>
        </w:r>
        <w:r>
          <w:rPr>
            <w:noProof/>
            <w:webHidden/>
          </w:rPr>
          <w:fldChar w:fldCharType="separate"/>
        </w:r>
        <w:r>
          <w:rPr>
            <w:noProof/>
            <w:webHidden/>
          </w:rPr>
          <w:t>57</w:t>
        </w:r>
        <w:r>
          <w:rPr>
            <w:noProof/>
            <w:webHidden/>
          </w:rPr>
          <w:fldChar w:fldCharType="end"/>
        </w:r>
      </w:hyperlink>
    </w:p>
    <w:p w14:paraId="5F584747" w14:textId="147A2BE2" w:rsidR="00F45D69" w:rsidRDefault="00F45D69">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890366" w:history="1">
        <w:r w:rsidRPr="00424DFF">
          <w:rPr>
            <w:rStyle w:val="Hipervnculo"/>
            <w:i/>
            <w:noProof/>
          </w:rPr>
          <w:t xml:space="preserve">Figura </w:t>
        </w:r>
        <w:r w:rsidRPr="00424DFF">
          <w:rPr>
            <w:rStyle w:val="Hipervnculo"/>
            <w:noProof/>
          </w:rPr>
          <w:t>11</w:t>
        </w:r>
        <w:r w:rsidRPr="00424DFF">
          <w:rPr>
            <w:rStyle w:val="Hipervnculo"/>
            <w:i/>
            <w:noProof/>
          </w:rPr>
          <w:t>. Marco conceptual de la investigación</w:t>
        </w:r>
        <w:r>
          <w:rPr>
            <w:noProof/>
            <w:webHidden/>
          </w:rPr>
          <w:tab/>
        </w:r>
        <w:r>
          <w:rPr>
            <w:noProof/>
            <w:webHidden/>
          </w:rPr>
          <w:fldChar w:fldCharType="begin"/>
        </w:r>
        <w:r>
          <w:rPr>
            <w:noProof/>
            <w:webHidden/>
          </w:rPr>
          <w:instrText xml:space="preserve"> PAGEREF _Toc225890366 \h </w:instrText>
        </w:r>
        <w:r>
          <w:rPr>
            <w:noProof/>
            <w:webHidden/>
          </w:rPr>
        </w:r>
        <w:r>
          <w:rPr>
            <w:noProof/>
            <w:webHidden/>
          </w:rPr>
          <w:fldChar w:fldCharType="separate"/>
        </w:r>
        <w:r>
          <w:rPr>
            <w:noProof/>
            <w:webHidden/>
          </w:rPr>
          <w:t>62</w:t>
        </w:r>
        <w:r>
          <w:rPr>
            <w:noProof/>
            <w:webHidden/>
          </w:rPr>
          <w:fldChar w:fldCharType="end"/>
        </w:r>
      </w:hyperlink>
    </w:p>
    <w:p w14:paraId="73B83591" w14:textId="58B34DA7" w:rsidR="00962712" w:rsidRDefault="00BF4269">
      <w:r>
        <w:fldChar w:fldCharType="end"/>
      </w:r>
    </w:p>
    <w:p w14:paraId="693012CB" w14:textId="77777777" w:rsidR="00962712" w:rsidRDefault="00BF4269">
      <w:pPr>
        <w:pStyle w:val="Ttulo1"/>
        <w:pageBreakBefore/>
      </w:pPr>
      <w:bookmarkStart w:id="4" w:name="capítulo-i-planteamiento-del-estudio"/>
      <w:bookmarkStart w:id="5" w:name="_Toc225890719"/>
      <w:bookmarkEnd w:id="2"/>
      <w:r>
        <w:lastRenderedPageBreak/>
        <w:t>Capítulo I. Planteamiento del estudio</w:t>
      </w:r>
      <w:bookmarkEnd w:id="5"/>
    </w:p>
    <w:p w14:paraId="744DD38E" w14:textId="77777777" w:rsidR="00962712" w:rsidRDefault="00BF4269">
      <w:pPr>
        <w:pStyle w:val="Ttulo2"/>
      </w:pPr>
      <w:bookmarkStart w:id="6" w:name="planteamiento-y-formulación-del-problema"/>
      <w:bookmarkStart w:id="7" w:name="_Toc225890720"/>
      <w:r>
        <w:t>1.1. Planteamiento y formulación del problema</w:t>
      </w:r>
      <w:bookmarkEnd w:id="7"/>
    </w:p>
    <w:p w14:paraId="68B9D84F" w14:textId="77777777" w:rsidR="00962712" w:rsidRDefault="00BF4269">
      <w:pPr>
        <w:pStyle w:val="Ttulo3"/>
      </w:pPr>
      <w:bookmarkStart w:id="8" w:name="planteamiento-del-problema"/>
      <w:bookmarkStart w:id="9" w:name="_Toc225890721"/>
      <w:r>
        <w:t>1.1.1. Planteamiento del problema</w:t>
      </w:r>
      <w:bookmarkEnd w:id="9"/>
    </w:p>
    <w:p w14:paraId="3CAC33EE" w14:textId="77777777" w:rsidR="00962712" w:rsidRDefault="00BF4269">
      <w:r>
        <w:t xml:space="preserve">Actualmente, en los centros de salud del Ministerio de Salud (MINSA) del Perú, los sistemas de gestión de historias clínicas operan con una interoperabilidad limitada. Si bien el MINSA ha establecido un marco normativo para la interoperabilidad (IEDS, RNIEDS, PIDESALUD), su implementación operativa es heterogénea y, en la práctica, no se ha logrado una adopción sistemática de estándares internacionales como HL7 FHIR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que habilite un intercambio de información clínica con niveles adecuados de integridad, consistencia, disponibilidad y continuidad asistencial. Esta condición genera fragmentación de la información clínica del paciente, si bien cabe advertir que la sola adopción de un estándar no garantiza por sí misma la interoperabilidad efectiva sin la gestión adecuada de perfiles, terminologías y gobernanza institucional (Kramer y </w:t>
      </w:r>
      <w:proofErr w:type="spellStart"/>
      <w:r>
        <w:t>Moesel</w:t>
      </w:r>
      <w:proofErr w:type="spellEnd"/>
      <w:r>
        <w:t>, 2023).</w:t>
      </w:r>
    </w:p>
    <w:p w14:paraId="3550F426" w14:textId="77777777" w:rsidR="00962712" w:rsidRDefault="00BF4269">
      <w:r>
        <w:t xml:space="preserve">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w:t>
      </w:r>
      <w:proofErr w:type="spellStart"/>
      <w:r>
        <w:t>Torab-Miandoab</w:t>
      </w:r>
      <w:proofErr w:type="spellEnd"/>
      <w:r>
        <w:t xml:space="preserve"> et al. (2023) subrayan que esta desarticulación no solo reduce la calidad de la atención y desperdicia recursos financieros, sino que hace imperativa la adopción de estándares como HL7 FHIR, CDA y SNOMED-CT para lograr una integración efectiva.</w:t>
      </w:r>
    </w:p>
    <w:p w14:paraId="7DB3229A" w14:textId="77777777" w:rsidR="00962712" w:rsidRDefault="00BF4269">
      <w:r>
        <w:t xml:space="preserve">El panorama peruano refleja esta problemática de manera crítica. Bayona-Castañeda (2019) 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establecimientos, lo que incrementa costos por exámenes duplicados y tiempos adicionales de gestión clínica. Porras-Gamarra </w:t>
      </w:r>
      <w:r>
        <w:lastRenderedPageBreak/>
        <w:t>(2024), con experiencia directa en interoperabilidad europea, contrasta que, durante la pandemia, mientras Europa debatía sobre estándares de mensajería, en Perú se construían sistemas aislados sin planificación ni estándares.</w:t>
      </w:r>
    </w:p>
    <w:p w14:paraId="5C43751D" w14:textId="77777777" w:rsidR="00962712" w:rsidRDefault="00BF4269">
      <w:r>
        <w:t xml:space="preserve">Si bien el MINSA ha establecido un marco normativo para la interoperabilidad mediante la Infraestructura de Estándares de Datos en Salud (IEDS), la Red Nacional de Interoperabilidad en Datos de Salud (RNIEDS) y la Plataforma de Interoperabilidad de Datos Estándares de Salud (PIDESALUD), reguladas por la RM </w:t>
      </w:r>
      <w:proofErr w:type="spellStart"/>
      <w:r>
        <w:t>N°</w:t>
      </w:r>
      <w:proofErr w:type="spellEnd"/>
      <w:r>
        <w:t xml:space="preserve"> 1104-2018-MINSA, RM </w:t>
      </w:r>
      <w:proofErr w:type="spellStart"/>
      <w:r>
        <w:t>N°</w:t>
      </w:r>
      <w:proofErr w:type="spellEnd"/>
      <w:r>
        <w:t xml:space="preserve"> 464-2019-MINSA y RM </w:t>
      </w:r>
      <w:proofErr w:type="spellStart"/>
      <w:r>
        <w:t>N°</w:t>
      </w:r>
      <w:proofErr w:type="spellEnd"/>
      <w:r>
        <w:t xml:space="preserve"> 1193-2019-MINSA, su implementación no es uniforme. La siguiente figura presenta la estructura del marco normativo y la brecha entre lo establecido y lo operativo.</w:t>
      </w:r>
    </w:p>
    <w:p w14:paraId="22F0CD74" w14:textId="77777777" w:rsidR="00962712" w:rsidRDefault="00BF4269">
      <w:r>
        <w:rPr>
          <w:noProof/>
        </w:rPr>
        <w:drawing>
          <wp:inline distT="0" distB="0" distL="0" distR="0" wp14:anchorId="786A70BC" wp14:editId="2673E258">
            <wp:extent cx="5562600" cy="3815318"/>
            <wp:effectExtent l="0" t="0" r="0" b="0"/>
            <wp:docPr id="31" name="Picture" descr="Marco normativo peruano para la interoperabilidad en salud"/>
            <wp:cNvGraphicFramePr/>
            <a:graphic xmlns:a="http://schemas.openxmlformats.org/drawingml/2006/main">
              <a:graphicData uri="http://schemas.openxmlformats.org/drawingml/2006/picture">
                <pic:pic xmlns:pic="http://schemas.openxmlformats.org/drawingml/2006/picture">
                  <pic:nvPicPr>
                    <pic:cNvPr id="32" name="Picture" descr="media/diagrama-marco-normativo-peru.png"/>
                    <pic:cNvPicPr>
                      <a:picLocks noChangeAspect="1" noChangeArrowheads="1"/>
                    </pic:cNvPicPr>
                  </pic:nvPicPr>
                  <pic:blipFill>
                    <a:blip r:embed="rId8"/>
                    <a:stretch>
                      <a:fillRect/>
                    </a:stretch>
                  </pic:blipFill>
                  <pic:spPr bwMode="auto">
                    <a:xfrm>
                      <a:off x="0" y="0"/>
                      <a:ext cx="5562600" cy="3815318"/>
                    </a:xfrm>
                    <a:prstGeom prst="rect">
                      <a:avLst/>
                    </a:prstGeom>
                    <a:noFill/>
                    <a:ln w="9525">
                      <a:noFill/>
                      <a:headEnd/>
                      <a:tailEnd/>
                    </a:ln>
                  </pic:spPr>
                </pic:pic>
              </a:graphicData>
            </a:graphic>
          </wp:inline>
        </w:drawing>
      </w:r>
    </w:p>
    <w:p w14:paraId="0B068E8C" w14:textId="74A9A9AA" w:rsidR="00962712" w:rsidRDefault="00BF4269">
      <w:pPr>
        <w:jc w:val="center"/>
      </w:pPr>
      <w:bookmarkStart w:id="10" w:name="_Toc225890356"/>
      <w:r>
        <w:rPr>
          <w:i/>
          <w:sz w:val="20"/>
        </w:rPr>
        <w:t xml:space="preserve">Figura </w:t>
      </w:r>
      <w:fldSimple w:instr=" SEQ Figure \* ARABIC ">
        <w:r w:rsidR="00F45D69">
          <w:rPr>
            <w:noProof/>
          </w:rPr>
          <w:t>1</w:t>
        </w:r>
      </w:fldSimple>
      <w:r>
        <w:rPr>
          <w:i/>
          <w:sz w:val="20"/>
        </w:rPr>
        <w:t>. Marco normativo peruano para la interoperabilidad en salud</w:t>
      </w:r>
      <w:bookmarkEnd w:id="10"/>
    </w:p>
    <w:p w14:paraId="15973534" w14:textId="77777777" w:rsidR="00962712" w:rsidRDefault="00BF4269">
      <w:pPr>
        <w:jc w:val="center"/>
      </w:pPr>
      <w:r>
        <w:rPr>
          <w:i/>
          <w:iCs/>
          <w:sz w:val="20"/>
        </w:rPr>
        <w:t>Nota.</w:t>
      </w:r>
      <w:r>
        <w:rPr>
          <w:sz w:val="20"/>
        </w:rPr>
        <w:t xml:space="preserve"> Elaboración propia a partir de RM </w:t>
      </w:r>
      <w:proofErr w:type="spellStart"/>
      <w:r>
        <w:rPr>
          <w:sz w:val="20"/>
        </w:rPr>
        <w:t>N°</w:t>
      </w:r>
      <w:proofErr w:type="spellEnd"/>
      <w:r>
        <w:rPr>
          <w:sz w:val="20"/>
        </w:rPr>
        <w:t xml:space="preserve"> 1104-2018-MINSA, RM </w:t>
      </w:r>
      <w:proofErr w:type="spellStart"/>
      <w:r>
        <w:rPr>
          <w:sz w:val="20"/>
        </w:rPr>
        <w:t>N°</w:t>
      </w:r>
      <w:proofErr w:type="spellEnd"/>
      <w:r>
        <w:rPr>
          <w:sz w:val="20"/>
        </w:rPr>
        <w:t xml:space="preserve"> 464-2019-MINSA y RM </w:t>
      </w:r>
      <w:proofErr w:type="spellStart"/>
      <w:r>
        <w:rPr>
          <w:sz w:val="20"/>
        </w:rPr>
        <w:t>N°</w:t>
      </w:r>
      <w:proofErr w:type="spellEnd"/>
      <w:r>
        <w:rPr>
          <w:sz w:val="20"/>
        </w:rPr>
        <w:t xml:space="preserve"> 1193-2019-MINSA.</w:t>
      </w:r>
    </w:p>
    <w:p w14:paraId="64E0C309" w14:textId="77777777" w:rsidR="00962712" w:rsidRDefault="00BF4269">
      <w:r>
        <w:t>Como resultado, persisten brechas operativas concretas en los centros de salud del MINSA:</w:t>
      </w:r>
    </w:p>
    <w:p w14:paraId="1DA7247C" w14:textId="77777777" w:rsidR="00962712" w:rsidRDefault="00BF4269" w:rsidP="00E5460C">
      <w:pPr>
        <w:numPr>
          <w:ilvl w:val="0"/>
          <w:numId w:val="69"/>
        </w:numPr>
      </w:pPr>
      <w:r>
        <w:rPr>
          <w:b/>
          <w:bCs/>
        </w:rPr>
        <w:lastRenderedPageBreak/>
        <w:t>Completitud de registros clínicos:</w:t>
      </w:r>
      <w:r>
        <w:t xml:space="preserve"> Información incompleta en historias clínicas que impide una visión integral del paciente.</w:t>
      </w:r>
    </w:p>
    <w:p w14:paraId="302F7853" w14:textId="77777777" w:rsidR="00962712" w:rsidRDefault="00BF4269" w:rsidP="00E5460C">
      <w:pPr>
        <w:numPr>
          <w:ilvl w:val="0"/>
          <w:numId w:val="69"/>
        </w:numPr>
      </w:pPr>
      <w:r>
        <w:rPr>
          <w:b/>
          <w:bCs/>
        </w:rPr>
        <w:t>Inconsistencias en codificación clínica:</w:t>
      </w:r>
      <w:r>
        <w:t xml:space="preserve"> Uso heterogéneo de CIE-10 y CPMS, afectando el registro y la trazabilidad diagnóstica.</w:t>
      </w:r>
    </w:p>
    <w:p w14:paraId="2827C260" w14:textId="77777777" w:rsidR="00962712" w:rsidRDefault="00BF4269" w:rsidP="00E5460C">
      <w:pPr>
        <w:numPr>
          <w:ilvl w:val="0"/>
          <w:numId w:val="69"/>
        </w:numPr>
      </w:pPr>
      <w:r>
        <w:rPr>
          <w:b/>
          <w:bCs/>
        </w:rPr>
        <w:t>Duplicidad de información:</w:t>
      </w:r>
      <w:r>
        <w:t xml:space="preserve"> Múltiples registros de un mismo paciente y exámenes repetidos entre establecimientos.</w:t>
      </w:r>
    </w:p>
    <w:p w14:paraId="18589586" w14:textId="77777777" w:rsidR="00962712" w:rsidRDefault="00BF4269" w:rsidP="00E5460C">
      <w:pPr>
        <w:numPr>
          <w:ilvl w:val="0"/>
          <w:numId w:val="69"/>
        </w:numPr>
      </w:pPr>
      <w:r>
        <w:rPr>
          <w:b/>
          <w:bCs/>
        </w:rPr>
        <w:t>Limitaciones en trazabilidad y continuidad:</w:t>
      </w:r>
      <w:r>
        <w:t xml:space="preserve"> Dificultad para dar seguimiento a la atención entre distintos niveles y redes de salud.</w:t>
      </w:r>
    </w:p>
    <w:p w14:paraId="196CF572" w14:textId="77777777" w:rsidR="00962712" w:rsidRDefault="00BF4269">
      <w:r>
        <w:t>La siguiente figura sintetiza las cuatro brechas identificadas y sus consecuencias directas sobre el sistema de salud.</w:t>
      </w:r>
    </w:p>
    <w:p w14:paraId="0410DFFF" w14:textId="77777777" w:rsidR="00962712" w:rsidRDefault="00BF4269">
      <w:r>
        <w:rPr>
          <w:noProof/>
        </w:rPr>
        <w:drawing>
          <wp:inline distT="0" distB="0" distL="0" distR="0" wp14:anchorId="46BF2229" wp14:editId="2D8E50B8">
            <wp:extent cx="5562600" cy="1738745"/>
            <wp:effectExtent l="0" t="0" r="0" b="0"/>
            <wp:docPr id="34" name="Picture" descr="Brechas de interoperabilidad identificadas en centros de salud del MINSA"/>
            <wp:cNvGraphicFramePr/>
            <a:graphic xmlns:a="http://schemas.openxmlformats.org/drawingml/2006/main">
              <a:graphicData uri="http://schemas.openxmlformats.org/drawingml/2006/picture">
                <pic:pic xmlns:pic="http://schemas.openxmlformats.org/drawingml/2006/picture">
                  <pic:nvPicPr>
                    <pic:cNvPr id="35" name="Picture" descr="media/diagrama-brechas-interoperabilidad.png"/>
                    <pic:cNvPicPr>
                      <a:picLocks noChangeAspect="1" noChangeArrowheads="1"/>
                    </pic:cNvPicPr>
                  </pic:nvPicPr>
                  <pic:blipFill>
                    <a:blip r:embed="rId9"/>
                    <a:stretch>
                      <a:fillRect/>
                    </a:stretch>
                  </pic:blipFill>
                  <pic:spPr bwMode="auto">
                    <a:xfrm>
                      <a:off x="0" y="0"/>
                      <a:ext cx="5562600" cy="1738745"/>
                    </a:xfrm>
                    <a:prstGeom prst="rect">
                      <a:avLst/>
                    </a:prstGeom>
                    <a:noFill/>
                    <a:ln w="9525">
                      <a:noFill/>
                      <a:headEnd/>
                      <a:tailEnd/>
                    </a:ln>
                  </pic:spPr>
                </pic:pic>
              </a:graphicData>
            </a:graphic>
          </wp:inline>
        </w:drawing>
      </w:r>
    </w:p>
    <w:p w14:paraId="166DFB5A" w14:textId="7AC486B8" w:rsidR="00962712" w:rsidRDefault="00BF4269">
      <w:pPr>
        <w:jc w:val="center"/>
      </w:pPr>
      <w:bookmarkStart w:id="11" w:name="_Toc225890357"/>
      <w:r>
        <w:rPr>
          <w:i/>
          <w:sz w:val="20"/>
        </w:rPr>
        <w:t xml:space="preserve">Figura </w:t>
      </w:r>
      <w:fldSimple w:instr=" SEQ Figure \* ARABIC ">
        <w:r w:rsidR="00F45D69">
          <w:rPr>
            <w:noProof/>
          </w:rPr>
          <w:t>2</w:t>
        </w:r>
      </w:fldSimple>
      <w:r>
        <w:rPr>
          <w:i/>
          <w:sz w:val="20"/>
        </w:rPr>
        <w:t>. Brechas de interoperabilidad identificadas en centros de salud del MINSA</w:t>
      </w:r>
      <w:bookmarkEnd w:id="11"/>
    </w:p>
    <w:p w14:paraId="14506AA3" w14:textId="77777777" w:rsidR="00962712" w:rsidRDefault="00BF4269">
      <w:pPr>
        <w:jc w:val="center"/>
      </w:pPr>
      <w:r>
        <w:rPr>
          <w:i/>
          <w:iCs/>
          <w:sz w:val="20"/>
        </w:rPr>
        <w:t>Nota.</w:t>
      </w:r>
      <w:r>
        <w:rPr>
          <w:sz w:val="20"/>
        </w:rPr>
        <w:t xml:space="preserve"> Elaboración propia.</w:t>
      </w:r>
    </w:p>
    <w:p w14:paraId="6C17B8DE" w14:textId="77777777" w:rsidR="00962712" w:rsidRDefault="00BF4269">
      <w:r>
        <w:t>En adición a las brechas detectadas, es crucial examinar la magnitud del asunto a través de datos cuantitativos que permitan entender su efecto en el sistema de salud.</w:t>
      </w:r>
    </w:p>
    <w:p w14:paraId="651C0BB1" w14:textId="77777777" w:rsidR="00962712" w:rsidRDefault="00BF4269">
      <w:r>
        <w:t xml:space="preserve">Desde una perspectiva cuantitativa, el problema de interoperabilidad en el sistema de salud de Perú es considerable. De acuerdo con Fernández Infanzón y </w:t>
      </w:r>
      <w:proofErr w:type="spellStart"/>
      <w:r>
        <w:t>Huarac-Cuizano</w:t>
      </w:r>
      <w:proofErr w:type="spellEnd"/>
      <w:r>
        <w:t xml:space="preserve"> (2021), el 74% de las IPRESS no cuenta con un sistema adecuado para gestionar historias clínicas electrónicas, solo el 26% utiliza algún sistema digital y un 39% aún se basa en registros en papel, lo que revela un nivel de digitalización muy bajo. Además, un 83.33% de los usuarios expresa insatisfacción con la forma actual de manejar la información clínica, y el 81.48% opina que una historia clínica electrónica única podría mejorar notablemente la atención.</w:t>
      </w:r>
    </w:p>
    <w:p w14:paraId="7FF966A1" w14:textId="77777777" w:rsidR="00962712" w:rsidRDefault="00BF4269">
      <w:r>
        <w:lastRenderedPageBreak/>
        <w:t>En cuanto a la adopción de tecnología, investigaciones recientes muestran que el grado de madurez en interoperabilidad en Perú es inferior al 10%, señalando una brecha importante respecto a estándares internacionales. Esta situación es aún más problemática en áreas fuera de Lima, donde menos del 4% ha adoptado historias clínicas electrónicas, en comparación con menos del 40% en la capital, mostrando así notables desigualdades territoriales.</w:t>
      </w:r>
    </w:p>
    <w:p w14:paraId="1DE32CD2" w14:textId="77777777" w:rsidR="00962712" w:rsidRDefault="00BF4269">
      <w:r>
        <w:t>Los efectos de esta escasa interoperabilidad son evidentes y medibles. Se ha registrado que la falta de integración da lugar a duplicación de registros clínicos, pérdida de datos y exámenes repetidos innecesariamente, lo que aumenta los gastos asistenciales y perjudica la calidad del servicio. Bayona-Castañeda (2019) indica que integrar datos clínicos podría resultar en un ahorro de hasta un 80% en costos vinculados a la repetición de pruebas médicas, subrayando así el impacto económico de la situación.</w:t>
      </w:r>
    </w:p>
    <w:p w14:paraId="2F3B315B" w14:textId="77777777" w:rsidR="00962712" w:rsidRDefault="00BF4269">
      <w:r>
        <w:t>Además, la fragmentación de la información pone en riesgo la seguridad del paciente y la continuidad de la atención, especialmente en circunstancias críticas como la pandemia, donde la falta de sistemas interoperables limitó la capacidad de respuesta del sistema de salud (Vargas-Rioja y Arrué-Pajares, 2022). A esto se le añade el riesgo a la seguridad de la información, reflejado en incidentes como la filtración de más de 44,000 registros clínicos del MINSA, lo que pone de manifiesto debilidades en la gestión y protección de los datos.</w:t>
      </w:r>
    </w:p>
    <w:p w14:paraId="0CE14B53" w14:textId="77777777" w:rsidR="00962712" w:rsidRDefault="00BF4269">
      <w:r>
        <w:t>En conjunto, estos datos demuestran que el problema de interoperabilidad no solo es de carácter estructural, sino que también tiene un impacto directo en la calidad de la atención, la eficiencia del sistema de salud y la seguridad del paciente, justificando así la necesidad de crear e implementar modelos basados en estándares como HL7 FHIR que permitan mejorar el intercambio de información clínica de manera eficiente.</w:t>
      </w:r>
    </w:p>
    <w:p w14:paraId="3A136BC5" w14:textId="77777777" w:rsidR="00962712" w:rsidRDefault="00BF4269">
      <w:r>
        <w:t>Estos hallazgos subrayan que la problemática de interoperabilidad no es solo estructural, sino también cuantificable, afectando de manera directa la calidad, eficiencia y seguridad en la atención de salud. La siguiente figura resume los indicadores clave que dimensionan esta problemática.</w:t>
      </w:r>
    </w:p>
    <w:p w14:paraId="161A3C63" w14:textId="77777777" w:rsidR="00962712" w:rsidRDefault="00BF4269">
      <w:r>
        <w:rPr>
          <w:noProof/>
        </w:rPr>
        <w:lastRenderedPageBreak/>
        <w:drawing>
          <wp:inline distT="0" distB="0" distL="0" distR="0" wp14:anchorId="47BB63CE" wp14:editId="7AF0C22E">
            <wp:extent cx="5562600" cy="1458416"/>
            <wp:effectExtent l="0" t="0" r="0" b="0"/>
            <wp:docPr id="37" name="Picture" descr="Panorama cuantitativo de la interoperabilidad en el sistema de salud peruano"/>
            <wp:cNvGraphicFramePr/>
            <a:graphic xmlns:a="http://schemas.openxmlformats.org/drawingml/2006/main">
              <a:graphicData uri="http://schemas.openxmlformats.org/drawingml/2006/picture">
                <pic:pic xmlns:pic="http://schemas.openxmlformats.org/drawingml/2006/picture">
                  <pic:nvPicPr>
                    <pic:cNvPr id="38" name="Picture" descr="media/diagrama-panorama-cuantitativo.png"/>
                    <pic:cNvPicPr>
                      <a:picLocks noChangeAspect="1" noChangeArrowheads="1"/>
                    </pic:cNvPicPr>
                  </pic:nvPicPr>
                  <pic:blipFill>
                    <a:blip r:embed="rId10"/>
                    <a:stretch>
                      <a:fillRect/>
                    </a:stretch>
                  </pic:blipFill>
                  <pic:spPr bwMode="auto">
                    <a:xfrm>
                      <a:off x="0" y="0"/>
                      <a:ext cx="5562600" cy="1458416"/>
                    </a:xfrm>
                    <a:prstGeom prst="rect">
                      <a:avLst/>
                    </a:prstGeom>
                    <a:noFill/>
                    <a:ln w="9525">
                      <a:noFill/>
                      <a:headEnd/>
                      <a:tailEnd/>
                    </a:ln>
                  </pic:spPr>
                </pic:pic>
              </a:graphicData>
            </a:graphic>
          </wp:inline>
        </w:drawing>
      </w:r>
    </w:p>
    <w:p w14:paraId="078B50F3" w14:textId="1EFADD53" w:rsidR="00962712" w:rsidRDefault="00BF4269">
      <w:pPr>
        <w:jc w:val="center"/>
      </w:pPr>
      <w:bookmarkStart w:id="12" w:name="_Toc225890358"/>
      <w:r>
        <w:rPr>
          <w:i/>
          <w:sz w:val="20"/>
        </w:rPr>
        <w:t xml:space="preserve">Figura </w:t>
      </w:r>
      <w:fldSimple w:instr=" SEQ Figure \* ARABIC ">
        <w:r w:rsidR="00F45D69">
          <w:rPr>
            <w:noProof/>
          </w:rPr>
          <w:t>3</w:t>
        </w:r>
      </w:fldSimple>
      <w:r>
        <w:rPr>
          <w:i/>
          <w:sz w:val="20"/>
        </w:rPr>
        <w:t>. Panorama cuantitativo de la interoperabilidad en el sistema de salud peruano</w:t>
      </w:r>
      <w:bookmarkEnd w:id="12"/>
    </w:p>
    <w:p w14:paraId="06AD297C" w14:textId="77777777" w:rsidR="00962712" w:rsidRDefault="00BF4269">
      <w:pPr>
        <w:jc w:val="center"/>
      </w:pPr>
      <w:r>
        <w:rPr>
          <w:i/>
          <w:iCs/>
          <w:sz w:val="20"/>
        </w:rPr>
        <w:t>Nota.</w:t>
      </w:r>
      <w:r>
        <w:rPr>
          <w:sz w:val="20"/>
        </w:rPr>
        <w:t xml:space="preserve"> Elaboración propia a partir de Fernández Infanzón y </w:t>
      </w:r>
      <w:proofErr w:type="spellStart"/>
      <w:r>
        <w:rPr>
          <w:sz w:val="20"/>
        </w:rPr>
        <w:t>Huarac-Cuizano</w:t>
      </w:r>
      <w:proofErr w:type="spellEnd"/>
      <w:r>
        <w:rPr>
          <w:sz w:val="20"/>
        </w:rPr>
        <w:t xml:space="preserve"> (2021) y Bayona-Castañeda (2019).</w:t>
      </w:r>
    </w:p>
    <w:p w14:paraId="3C1D3E28" w14:textId="77777777" w:rsidR="00962712" w:rsidRDefault="00BF4269">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investigación, y Holmgren et al. (2023) en el análisis de marcos de políticas de interoperabilidad en países con mayor madurez.</w:t>
      </w:r>
    </w:p>
    <w:p w14:paraId="48E662A4" w14:textId="77777777" w:rsidR="00962712" w:rsidRDefault="00BF4269">
      <w:r>
        <w:t xml:space="preserve">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w:t>
      </w:r>
      <w:proofErr w:type="spellStart"/>
      <w:r>
        <w:t>OpenEHR</w:t>
      </w:r>
      <w:proofErr w:type="spellEnd"/>
      <w:r>
        <w:t>, ISO 13606 y FHIR coexisten por capas; y Chatterjee et al. (2022) validan, en prueba de concepto, que la combinación FHIR + SNOMED-CT reduce pérdidas semánticas en intercambio bidireccional.</w:t>
      </w:r>
    </w:p>
    <w:p w14:paraId="49630CD0" w14:textId="77777777" w:rsidR="00962712" w:rsidRDefault="00BF4269">
      <w:r>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w:t>
      </w:r>
      <w:r>
        <w:lastRenderedPageBreak/>
        <w:t>brecha tanto práctica como científica que limita la toma de decisiones basada en evidencia en procesos de transformación digital en salud.</w:t>
      </w:r>
    </w:p>
    <w:p w14:paraId="77EF5C3A" w14:textId="77777777" w:rsidR="00962712" w:rsidRDefault="00BF4269">
      <w:r>
        <w:t>Frente a este panorama, se requiere una propuesta de intervención fundamentada en la evidencia que permita:</w:t>
      </w:r>
    </w:p>
    <w:p w14:paraId="34B22704" w14:textId="77777777" w:rsidR="00962712" w:rsidRDefault="00BF4269">
      <w:r>
        <w:t>1.- Diagnosticar las brechas de interoperabilidad con instrumentos validados.</w:t>
      </w:r>
    </w:p>
    <w:p w14:paraId="318F875E" w14:textId="77777777" w:rsidR="00962712" w:rsidRDefault="00BF4269">
      <w:r>
        <w:t>2.- Implementar una capa de integración basada en HL7 FHIR alineada con los estándares internacionales y el marco normativo nacional.</w:t>
      </w:r>
    </w:p>
    <w:p w14:paraId="6A48DC7D" w14:textId="77777777" w:rsidR="00962712" w:rsidRDefault="00BF4269">
      <w:r>
        <w:t>3.- Evaluar sus efectos medibles en la calidad del intercambio de información clínica del paciente.</w:t>
      </w:r>
    </w:p>
    <w:p w14:paraId="083FA239" w14:textId="77777777" w:rsidR="00962712" w:rsidRDefault="00BF4269">
      <w:r>
        <w:t>La presente investigación responde a esta necesidad integrando las tres fases en un modelo coherente y replicable.</w:t>
      </w:r>
    </w:p>
    <w:p w14:paraId="0C3F0D06" w14:textId="77777777" w:rsidR="00962712" w:rsidRDefault="00BF4269">
      <w:pPr>
        <w:pStyle w:val="Ttulo3"/>
      </w:pPr>
      <w:bookmarkStart w:id="13" w:name="formulación-del-problema"/>
      <w:bookmarkStart w:id="14" w:name="_Toc225890722"/>
      <w:bookmarkEnd w:id="8"/>
      <w:r>
        <w:t>1.1.2. Formulación del problema</w:t>
      </w:r>
      <w:bookmarkEnd w:id="14"/>
    </w:p>
    <w:p w14:paraId="69E34803" w14:textId="77777777" w:rsidR="00962712" w:rsidRDefault="00BF4269">
      <w:r>
        <w:t xml:space="preserve">1.- </w:t>
      </w:r>
      <w:r>
        <w:rPr>
          <w:i/>
          <w:iCs/>
        </w:rPr>
        <w:t>Problema general</w:t>
      </w:r>
    </w:p>
    <w:p w14:paraId="4F4E9B11" w14:textId="77777777" w:rsidR="00962712" w:rsidRDefault="00BF4269">
      <w:r>
        <w:t>¿De qué manera la implementación de un modelo de interoperabilidad basado en HL7 FHIR mejora el intercambio de información clínica en los centros de salud del MINSA del Perú?</w:t>
      </w:r>
    </w:p>
    <w:p w14:paraId="159FBE4F" w14:textId="77777777" w:rsidR="00962712" w:rsidRDefault="00BF4269">
      <w:r>
        <w:t xml:space="preserve">2.- </w:t>
      </w:r>
      <w:r>
        <w:rPr>
          <w:i/>
          <w:iCs/>
        </w:rPr>
        <w:t>Problemas específicos</w:t>
      </w:r>
    </w:p>
    <w:p w14:paraId="2C549C17" w14:textId="77777777" w:rsidR="00962712" w:rsidRDefault="00BF4269" w:rsidP="00E5460C">
      <w:pPr>
        <w:numPr>
          <w:ilvl w:val="0"/>
          <w:numId w:val="59"/>
        </w:numPr>
      </w:pPr>
      <w:r>
        <w:t>¿Cuáles son las brechas de interoperabilidad actuales en los centros de salud del MINSA del Perú en términos de completitud, codificación, duplicidad y trazabilidad de la información clínica?</w:t>
      </w:r>
    </w:p>
    <w:p w14:paraId="44F4EB75" w14:textId="77777777" w:rsidR="00962712" w:rsidRDefault="00BF4269" w:rsidP="00E5460C">
      <w:pPr>
        <w:numPr>
          <w:ilvl w:val="0"/>
          <w:numId w:val="59"/>
        </w:numPr>
      </w:pPr>
      <w:r>
        <w:t>¿Cuáles son los requerimientos técnicos, funcionales y normativos necesarios para la implementación un modelo de interoperabilidad basado en HL7 FHIR en el contexto del MINSA?</w:t>
      </w:r>
    </w:p>
    <w:p w14:paraId="02F9BDD3" w14:textId="77777777" w:rsidR="00962712" w:rsidRDefault="00BF4269" w:rsidP="00E5460C">
      <w:pPr>
        <w:numPr>
          <w:ilvl w:val="0"/>
          <w:numId w:val="59"/>
        </w:numPr>
      </w:pPr>
      <w:r>
        <w:t>¿En qué medida un modelo de interoperabilidad basado en HL7 FHIR permite integrar sistemas heterogéneos en los centros de salud del MINSA?</w:t>
      </w:r>
    </w:p>
    <w:p w14:paraId="41F404B8" w14:textId="77777777" w:rsidR="00962712" w:rsidRDefault="00BF4269" w:rsidP="00E5460C">
      <w:pPr>
        <w:numPr>
          <w:ilvl w:val="0"/>
          <w:numId w:val="59"/>
        </w:numPr>
      </w:pPr>
      <w:r>
        <w:lastRenderedPageBreak/>
        <w:t>¿Cuál es el efecto de la implementación del modelo propuesto en la calidad del intercambio de información clínica, medida a través de indicadores de integridad, consistencia, disponibilidad y continuidad?</w:t>
      </w:r>
    </w:p>
    <w:p w14:paraId="4965E21C" w14:textId="77777777" w:rsidR="00962712" w:rsidRDefault="00BF4269">
      <w:r>
        <w:t>La siguiente figura presenta la correspondencia entre los problemas específicos formulados y los objetivos específicos de la investigación, evidenciando la trazabilidad metodológica del estudio.</w:t>
      </w:r>
    </w:p>
    <w:p w14:paraId="64A01FCA" w14:textId="77777777" w:rsidR="00962712" w:rsidRDefault="00BF4269">
      <w:r>
        <w:rPr>
          <w:noProof/>
        </w:rPr>
        <w:lastRenderedPageBreak/>
        <w:drawing>
          <wp:inline distT="0" distB="0" distL="0" distR="0" wp14:anchorId="01565195" wp14:editId="67845FC6">
            <wp:extent cx="5562600" cy="6935189"/>
            <wp:effectExtent l="0" t="0" r="0" b="0"/>
            <wp:docPr id="41" name="Picture" descr="Alineación entre problemas específicos y objetivos específicos"/>
            <wp:cNvGraphicFramePr/>
            <a:graphic xmlns:a="http://schemas.openxmlformats.org/drawingml/2006/main">
              <a:graphicData uri="http://schemas.openxmlformats.org/drawingml/2006/picture">
                <pic:pic xmlns:pic="http://schemas.openxmlformats.org/drawingml/2006/picture">
                  <pic:nvPicPr>
                    <pic:cNvPr id="42" name="Picture" descr="media/diagrama-alineacion-problemas-objetivos.png"/>
                    <pic:cNvPicPr>
                      <a:picLocks noChangeAspect="1" noChangeArrowheads="1"/>
                    </pic:cNvPicPr>
                  </pic:nvPicPr>
                  <pic:blipFill>
                    <a:blip r:embed="rId11"/>
                    <a:stretch>
                      <a:fillRect/>
                    </a:stretch>
                  </pic:blipFill>
                  <pic:spPr bwMode="auto">
                    <a:xfrm>
                      <a:off x="0" y="0"/>
                      <a:ext cx="5562600" cy="6935189"/>
                    </a:xfrm>
                    <a:prstGeom prst="rect">
                      <a:avLst/>
                    </a:prstGeom>
                    <a:noFill/>
                    <a:ln w="9525">
                      <a:noFill/>
                      <a:headEnd/>
                      <a:tailEnd/>
                    </a:ln>
                  </pic:spPr>
                </pic:pic>
              </a:graphicData>
            </a:graphic>
          </wp:inline>
        </w:drawing>
      </w:r>
    </w:p>
    <w:p w14:paraId="6DF07D7E" w14:textId="2E715431" w:rsidR="00962712" w:rsidRDefault="00BF4269">
      <w:pPr>
        <w:jc w:val="center"/>
      </w:pPr>
      <w:bookmarkStart w:id="15" w:name="_Toc225890359"/>
      <w:r>
        <w:rPr>
          <w:i/>
          <w:sz w:val="20"/>
        </w:rPr>
        <w:t xml:space="preserve">Figura </w:t>
      </w:r>
      <w:fldSimple w:instr=" SEQ Figure \* ARABIC ">
        <w:r w:rsidR="00F45D69">
          <w:rPr>
            <w:noProof/>
          </w:rPr>
          <w:t>4</w:t>
        </w:r>
      </w:fldSimple>
      <w:r>
        <w:rPr>
          <w:i/>
          <w:sz w:val="20"/>
        </w:rPr>
        <w:t xml:space="preserve">. Alineación entre </w:t>
      </w:r>
      <w:proofErr w:type="gramStart"/>
      <w:r>
        <w:rPr>
          <w:i/>
          <w:sz w:val="20"/>
        </w:rPr>
        <w:t>problemas específicos y objetivos específicos</w:t>
      </w:r>
      <w:bookmarkEnd w:id="15"/>
      <w:proofErr w:type="gramEnd"/>
    </w:p>
    <w:p w14:paraId="3E0B474E" w14:textId="77777777" w:rsidR="00962712" w:rsidRDefault="00BF4269">
      <w:pPr>
        <w:jc w:val="center"/>
      </w:pPr>
      <w:r>
        <w:rPr>
          <w:i/>
          <w:iCs/>
          <w:sz w:val="20"/>
        </w:rPr>
        <w:t>Nota.</w:t>
      </w:r>
      <w:r>
        <w:rPr>
          <w:sz w:val="20"/>
        </w:rPr>
        <w:t xml:space="preserve"> Elaboración propia.</w:t>
      </w:r>
    </w:p>
    <w:p w14:paraId="51BB50FA" w14:textId="77777777" w:rsidR="00962712" w:rsidRDefault="00BF4269">
      <w:pPr>
        <w:pStyle w:val="Ttulo2"/>
      </w:pPr>
      <w:bookmarkStart w:id="16" w:name="determinación-de-objetivos"/>
      <w:bookmarkStart w:id="17" w:name="_Toc225890723"/>
      <w:bookmarkEnd w:id="6"/>
      <w:bookmarkEnd w:id="13"/>
      <w:r>
        <w:t>1.2. Determinación de objetivos</w:t>
      </w:r>
      <w:bookmarkEnd w:id="17"/>
    </w:p>
    <w:p w14:paraId="1A1E7844" w14:textId="77777777" w:rsidR="00962712" w:rsidRDefault="00BF4269">
      <w:pPr>
        <w:pStyle w:val="Ttulo3"/>
      </w:pPr>
      <w:bookmarkStart w:id="18" w:name="objetivo-general"/>
      <w:bookmarkStart w:id="19" w:name="_Toc225890724"/>
      <w:r>
        <w:t>1.2.1. Objetivo general</w:t>
      </w:r>
      <w:bookmarkEnd w:id="19"/>
    </w:p>
    <w:p w14:paraId="1DF87C55" w14:textId="77777777" w:rsidR="00962712" w:rsidRDefault="00BF4269">
      <w:r>
        <w:lastRenderedPageBreak/>
        <w:t>Evaluar el efecto de un modelo de interoperabilidad basado en HL7 FHIR en la mejora del intercambio de información clínica en centros de salud del MINSA del Perú, mediante el diagnóstico de brechas, el diseño e implementación de una capa de integración piloto y la medición de indicadores de calidad de la información.</w:t>
      </w:r>
    </w:p>
    <w:p w14:paraId="60C6821F" w14:textId="77777777" w:rsidR="00962712" w:rsidRDefault="00BF4269">
      <w:pPr>
        <w:pStyle w:val="Ttulo3"/>
      </w:pPr>
      <w:bookmarkStart w:id="20" w:name="objetivos-específicos"/>
      <w:bookmarkStart w:id="21" w:name="_Toc225890725"/>
      <w:bookmarkEnd w:id="18"/>
      <w:r>
        <w:t>1.2.2. Objetivos específicos</w:t>
      </w:r>
      <w:bookmarkEnd w:id="21"/>
    </w:p>
    <w:p w14:paraId="3A7AD6C6" w14:textId="77777777" w:rsidR="00962712" w:rsidRDefault="00BF4269">
      <w:pPr>
        <w:numPr>
          <w:ilvl w:val="0"/>
          <w:numId w:val="60"/>
        </w:numPr>
      </w:pPr>
      <w:r>
        <w:t>Diagnosticar las brechas de interoperabilidad en los centros de salud del MINSA del Perú en términos de completitud, codificación clínica, duplicidad y trazabilidad de la información.</w:t>
      </w:r>
    </w:p>
    <w:p w14:paraId="158E38E8" w14:textId="77777777" w:rsidR="00962712" w:rsidRDefault="00BF4269">
      <w:pPr>
        <w:numPr>
          <w:ilvl w:val="0"/>
          <w:numId w:val="60"/>
        </w:numPr>
      </w:pPr>
      <w:r>
        <w:t>Identificar los requerimientos técnicos, funcionales y normativos necesarios para la implementación de un modelo de interoperabilidad basado en HL7 FHIR en el contexto del MINSA.</w:t>
      </w:r>
    </w:p>
    <w:p w14:paraId="0C29E0FE" w14:textId="77777777" w:rsidR="00962712" w:rsidRDefault="00BF4269">
      <w:pPr>
        <w:numPr>
          <w:ilvl w:val="0"/>
          <w:numId w:val="60"/>
        </w:numPr>
      </w:pPr>
      <w:r>
        <w:t>Diseñar e implementar una capa de interoperabilidad basada en HL7 FHIR para la integración de sistemas heterogéneos en centros de salud del MINSA, considerando los requerimientos técnicos y el marco normativo vigente (IEDS, RNIEDS, PIDESALUD).</w:t>
      </w:r>
    </w:p>
    <w:p w14:paraId="3DA93967" w14:textId="77777777" w:rsidR="00962712" w:rsidRDefault="00BF4269">
      <w:pPr>
        <w:numPr>
          <w:ilvl w:val="0"/>
          <w:numId w:val="60"/>
        </w:numPr>
      </w:pPr>
      <w:r>
        <w:t xml:space="preserve">Evaluar el efecto de la implementación del modelo mediante un diseño </w:t>
      </w:r>
      <w:proofErr w:type="spellStart"/>
      <w:r>
        <w:t>pre-post</w:t>
      </w:r>
      <w:proofErr w:type="spellEnd"/>
      <w:r>
        <w:t>, utilizando indicadores de integridad, consistencia, disponibilidad y continuidad de la información clínica.</w:t>
      </w:r>
    </w:p>
    <w:p w14:paraId="200C090D" w14:textId="77777777" w:rsidR="00962712" w:rsidRDefault="00BF4269">
      <w:pPr>
        <w:numPr>
          <w:ilvl w:val="0"/>
          <w:numId w:val="60"/>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08C3E907" w14:textId="77777777" w:rsidR="00962712" w:rsidRDefault="00BF4269">
      <w:pPr>
        <w:pStyle w:val="Ttulo2"/>
      </w:pPr>
      <w:bookmarkStart w:id="22" w:name="justificación-e-importancia-del-estudio"/>
      <w:bookmarkStart w:id="23" w:name="_Toc225890726"/>
      <w:bookmarkEnd w:id="16"/>
      <w:bookmarkEnd w:id="20"/>
      <w:r>
        <w:t>1.3. Justificación e importancia del estudio</w:t>
      </w:r>
      <w:bookmarkEnd w:id="23"/>
    </w:p>
    <w:p w14:paraId="5ECF78F3" w14:textId="77777777" w:rsidR="00962712" w:rsidRDefault="00BF4269">
      <w:pPr>
        <w:pStyle w:val="Ttulo3"/>
      </w:pPr>
      <w:bookmarkStart w:id="24" w:name="justificación-teórica"/>
      <w:bookmarkStart w:id="25" w:name="_Toc225890727"/>
      <w:r>
        <w:t>1.3.1. Justificación teórica</w:t>
      </w:r>
      <w:bookmarkEnd w:id="25"/>
    </w:p>
    <w:p w14:paraId="585FE016" w14:textId="77777777" w:rsidR="00962712" w:rsidRDefault="00BF4269">
      <w:r>
        <w:t xml:space="preserve">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w:t>
      </w:r>
      <w:r>
        <w:lastRenderedPageBreak/>
        <w:t>de la interoperabilidad con la evaluación de su impacto en las cuatro brechas diagnósticas identificadas: completitud de registros, consistencia en la codificación clínica, duplicidad de información y trazabilidad de la atención.</w:t>
      </w:r>
    </w:p>
    <w:p w14:paraId="712495B7" w14:textId="77777777" w:rsidR="00962712" w:rsidRDefault="00BF4269">
      <w:r>
        <w:t xml:space="preserve">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w:t>
      </w:r>
      <w:proofErr w:type="spellStart"/>
      <w:r>
        <w:t>N.°</w:t>
      </w:r>
      <w:proofErr w:type="spellEnd"/>
      <w:r>
        <w:t xml:space="preserve"> 1104-2018-MINSA, RM </w:t>
      </w:r>
      <w:proofErr w:type="spellStart"/>
      <w:r>
        <w:t>N.°</w:t>
      </w:r>
      <w:proofErr w:type="spellEnd"/>
      <w:r>
        <w:t xml:space="preserve"> 464-2019-MINSA, RM </w:t>
      </w:r>
      <w:proofErr w:type="spellStart"/>
      <w:r>
        <w:t>N.°</w:t>
      </w:r>
      <w:proofErr w:type="spellEnd"/>
      <w:r>
        <w:t xml:space="preserve"> 1193-2019-MINSA), generando evidencia sobre su implementación práctica en sistemas públicos gestionados por el MINSA.</w:t>
      </w:r>
    </w:p>
    <w:p w14:paraId="239072A3" w14:textId="77777777" w:rsidR="00962712" w:rsidRDefault="00BF4269">
      <w:r>
        <w:t>Complementariamente, Gaudet-</w:t>
      </w:r>
      <w:proofErr w:type="spellStart"/>
      <w:r>
        <w:t>Blavignac</w:t>
      </w:r>
      <w:proofErr w:type="spellEnd"/>
      <w:r>
        <w:t xml:space="preserve">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dimensiones de codificación y trazabilidad planteadas en los objetivos específicos— y habilite el valor posterior del dato.</w:t>
      </w:r>
    </w:p>
    <w:p w14:paraId="778A9314" w14:textId="77777777" w:rsidR="00962712" w:rsidRDefault="00BF4269">
      <w:pPr>
        <w:pStyle w:val="Ttulo3"/>
      </w:pPr>
      <w:bookmarkStart w:id="26" w:name="justificación-metodológica"/>
      <w:bookmarkStart w:id="27" w:name="_Toc225890728"/>
      <w:bookmarkEnd w:id="24"/>
      <w:r>
        <w:t>1.3.2. Justificación metodológica</w:t>
      </w:r>
      <w:bookmarkEnd w:id="27"/>
    </w:p>
    <w:p w14:paraId="1A396B7E" w14:textId="77777777" w:rsidR="00962712" w:rsidRDefault="00BF4269">
      <w:r>
        <w:t xml:space="preserve">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w:t>
      </w:r>
      <w:r>
        <w:lastRenderedPageBreak/>
        <w:t xml:space="preserve">recientes del sector. </w:t>
      </w:r>
      <w:proofErr w:type="spellStart"/>
      <w:r>
        <w:t>Adelusi</w:t>
      </w:r>
      <w:proofErr w:type="spellEnd"/>
      <w:r>
        <w:t xml:space="preserve">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w:t>
      </w:r>
      <w:proofErr w:type="spellStart"/>
      <w:r>
        <w:t>JMeter</w:t>
      </w:r>
      <w:proofErr w:type="spellEnd"/>
      <w:r>
        <w:t xml:space="preserve">, demostrando que la sustitución de </w:t>
      </w:r>
      <w:proofErr w:type="spellStart"/>
      <w:r>
        <w:t>gateways</w:t>
      </w:r>
      <w:proofErr w:type="spellEnd"/>
      <w:r>
        <w:t xml:space="preserve"> por servidores FHIR reduce significativamente los tiempos y costos asociados con la transformación de datos.</w:t>
      </w:r>
    </w:p>
    <w:p w14:paraId="27DD72C1" w14:textId="77777777" w:rsidR="00962712" w:rsidRDefault="00BF4269">
      <w:r>
        <w:t xml:space="preserve">La presente investigación adopta un diseño </w:t>
      </w:r>
      <w:proofErr w:type="spellStart"/>
      <w:r>
        <w:t>pre-experimental</w:t>
      </w:r>
      <w:proofErr w:type="spellEnd"/>
      <w:r>
        <w:t xml:space="preserve"> con comparación </w:t>
      </w:r>
      <w:proofErr w:type="spellStart"/>
      <w:r>
        <w:t>pre-post</w:t>
      </w:r>
      <w:proofErr w:type="spellEnd"/>
      <w:r>
        <w:t xml:space="preserve">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comparación </w:t>
      </w:r>
      <w:proofErr w:type="spellStart"/>
      <w:r>
        <w:t>pre-post</w:t>
      </w:r>
      <w:proofErr w:type="spellEnd"/>
      <w:r>
        <w:t xml:space="preserve"> proporciona evidencia empírica sobre la efectividad del modelo en las dimensiones diagnosticadas.</w:t>
      </w:r>
    </w:p>
    <w:p w14:paraId="75880F81" w14:textId="77777777" w:rsidR="00962712" w:rsidRDefault="00BF4269">
      <w:r>
        <w:t xml:space="preserve">Adicionalmente, </w:t>
      </w:r>
      <w:proofErr w:type="spellStart"/>
      <w:r>
        <w:t>Mukhiya</w:t>
      </w:r>
      <w:proofErr w:type="spellEnd"/>
      <w:r>
        <w:t xml:space="preserve"> et al. (2021) evidencian que capas de interoperabilidad basadas en FHIR con interfaces flexibles (</w:t>
      </w:r>
      <w:proofErr w:type="spellStart"/>
      <w:r>
        <w:t>GraphQL</w:t>
      </w:r>
      <w:proofErr w:type="spellEnd"/>
      <w:r>
        <w:t>)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brechas específicas identificadas en la fase diagnóstica.</w:t>
      </w:r>
    </w:p>
    <w:p w14:paraId="7FC7CD4F" w14:textId="77777777" w:rsidR="00962712" w:rsidRDefault="00BF4269">
      <w:r>
        <w:rPr>
          <w:noProof/>
        </w:rPr>
        <w:drawing>
          <wp:inline distT="0" distB="0" distL="0" distR="0" wp14:anchorId="5C5B13EF" wp14:editId="2D18976F">
            <wp:extent cx="5562600" cy="1738312"/>
            <wp:effectExtent l="0" t="0" r="0" b="0"/>
            <wp:docPr id="50"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51" name="Picture" descr="media/fases_metodologicas.png"/>
                    <pic:cNvPicPr>
                      <a:picLocks noChangeAspect="1" noChangeArrowheads="1"/>
                    </pic:cNvPicPr>
                  </pic:nvPicPr>
                  <pic:blipFill>
                    <a:blip r:embed="rId12"/>
                    <a:stretch>
                      <a:fillRect/>
                    </a:stretch>
                  </pic:blipFill>
                  <pic:spPr bwMode="auto">
                    <a:xfrm>
                      <a:off x="0" y="0"/>
                      <a:ext cx="5562600" cy="1738312"/>
                    </a:xfrm>
                    <a:prstGeom prst="rect">
                      <a:avLst/>
                    </a:prstGeom>
                    <a:noFill/>
                    <a:ln w="9525">
                      <a:noFill/>
                      <a:headEnd/>
                      <a:tailEnd/>
                    </a:ln>
                  </pic:spPr>
                </pic:pic>
              </a:graphicData>
            </a:graphic>
          </wp:inline>
        </w:drawing>
      </w:r>
    </w:p>
    <w:p w14:paraId="2F1C3CDF" w14:textId="43555E0B" w:rsidR="00962712" w:rsidRDefault="00BF4269">
      <w:pPr>
        <w:jc w:val="center"/>
      </w:pPr>
      <w:bookmarkStart w:id="28" w:name="_Toc225890360"/>
      <w:r>
        <w:rPr>
          <w:i/>
          <w:sz w:val="20"/>
        </w:rPr>
        <w:lastRenderedPageBreak/>
        <w:t xml:space="preserve">Figura </w:t>
      </w:r>
      <w:fldSimple w:instr=" SEQ Figure \* ARABIC ">
        <w:r w:rsidR="00F45D69">
          <w:rPr>
            <w:noProof/>
          </w:rPr>
          <w:t>5</w:t>
        </w:r>
      </w:fldSimple>
      <w:r>
        <w:rPr>
          <w:i/>
          <w:sz w:val="20"/>
        </w:rPr>
        <w:t>. Fases del enfoque metodológico</w:t>
      </w:r>
      <w:bookmarkEnd w:id="28"/>
    </w:p>
    <w:p w14:paraId="69580383" w14:textId="77777777" w:rsidR="00962712" w:rsidRDefault="00BF4269">
      <w:pPr>
        <w:jc w:val="center"/>
      </w:pPr>
      <w:r>
        <w:rPr>
          <w:i/>
          <w:iCs/>
          <w:sz w:val="20"/>
        </w:rPr>
        <w:t>Nota.</w:t>
      </w:r>
      <w:r>
        <w:rPr>
          <w:sz w:val="20"/>
        </w:rPr>
        <w:t xml:space="preserve"> Elaboración propia.</w:t>
      </w:r>
    </w:p>
    <w:p w14:paraId="708BA3E2" w14:textId="77777777" w:rsidR="00962712" w:rsidRDefault="00BF4269">
      <w:pPr>
        <w:pStyle w:val="Ttulo3"/>
      </w:pPr>
      <w:bookmarkStart w:id="29" w:name="justificación-social"/>
      <w:bookmarkStart w:id="30" w:name="_Toc225890729"/>
      <w:bookmarkEnd w:id="26"/>
      <w:r>
        <w:t>1.3.3. Justificación social</w:t>
      </w:r>
      <w:bookmarkEnd w:id="30"/>
    </w:p>
    <w:p w14:paraId="381B1980" w14:textId="77777777" w:rsidR="00962712" w:rsidRDefault="00BF4269">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completa, siendo la interoperabilidad condición esencial para una atención de calidad.</w:t>
      </w:r>
    </w:p>
    <w:p w14:paraId="02AE1BD8" w14:textId="77777777" w:rsidR="00962712" w:rsidRDefault="00BF4269">
      <w:r>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disminuye la posibilidad de errores derivados de información fragmentada y promueve una atención más equitativa dentro del sistema público de salud peruano.</w:t>
      </w:r>
    </w:p>
    <w:p w14:paraId="6C6EE6DD" w14:textId="77777777" w:rsidR="00962712" w:rsidRDefault="00BF4269">
      <w:r>
        <w:t xml:space="preserve">En el plano nacional, la evidencia reciente vincula la madurez de la historia clínica electrónica con resultados de gestión y atención: Esparza Morgan (2025) identifica una asociación positiva entre el uso de HCE única y la mejora de la gestión de calidad hospitalaria, Arias Geronimo (2025) reporta una relación significativa entre la confiabilidad del registro electrónico y el desempeño en servicios preventivos, y Morales-Camargo y Meneses-Claudio (2023) destacan efectos favorables de los </w:t>
      </w:r>
      <w:r>
        <w:lastRenderedPageBreak/>
        <w:t>registros médicos electrónicos en eficiencia y soporte a la decisión clínica cuando existen condiciones de estandarización y capacitación. Estos hallazgos refuerzan que mejorar la interoperabilidad en los centros de salud del MINSA —objetivo central de esta tesis— no solo es una necesidad técnica, sino una condición para fortalecer la calidad, equidad y continuidad asistencial en el sistema público de salud del Perú.</w:t>
      </w:r>
    </w:p>
    <w:p w14:paraId="759B8B5E" w14:textId="77777777" w:rsidR="00962712" w:rsidRDefault="00BF4269">
      <w:pPr>
        <w:pStyle w:val="Ttulo2"/>
      </w:pPr>
      <w:bookmarkStart w:id="31" w:name="X1166850eae083e51f6b1ddc224ad8ea5ed19ed6"/>
      <w:bookmarkStart w:id="32" w:name="_Toc225890730"/>
      <w:bookmarkEnd w:id="22"/>
      <w:bookmarkEnd w:id="29"/>
      <w:r>
        <w:t>1.4. Limitaciones de la presente investigación</w:t>
      </w:r>
      <w:bookmarkEnd w:id="32"/>
    </w:p>
    <w:p w14:paraId="6B3E993F" w14:textId="77777777" w:rsidR="00962712" w:rsidRDefault="00BF4269">
      <w:r>
        <w:t>La siguiente figura presenta una visión integrada de las seis limitaciones identificadas y sus correspondientes estrategias de mitigación.</w:t>
      </w:r>
    </w:p>
    <w:p w14:paraId="5B89E8B7" w14:textId="77777777" w:rsidR="00962712" w:rsidRDefault="00BF4269">
      <w:r>
        <w:rPr>
          <w:noProof/>
        </w:rPr>
        <w:drawing>
          <wp:inline distT="0" distB="0" distL="0" distR="0" wp14:anchorId="23764E79" wp14:editId="0CAD46EF">
            <wp:extent cx="5562600" cy="5765800"/>
            <wp:effectExtent l="0" t="0" r="0" b="0"/>
            <wp:docPr id="56" name="Picture" descr="Limitaciones de la investigación y estrategias de mitigación"/>
            <wp:cNvGraphicFramePr/>
            <a:graphic xmlns:a="http://schemas.openxmlformats.org/drawingml/2006/main">
              <a:graphicData uri="http://schemas.openxmlformats.org/drawingml/2006/picture">
                <pic:pic xmlns:pic="http://schemas.openxmlformats.org/drawingml/2006/picture">
                  <pic:nvPicPr>
                    <pic:cNvPr id="57" name="Picture" descr="media/diagrama-limitaciones-mitigacion.png"/>
                    <pic:cNvPicPr>
                      <a:picLocks noChangeAspect="1" noChangeArrowheads="1"/>
                    </pic:cNvPicPr>
                  </pic:nvPicPr>
                  <pic:blipFill>
                    <a:blip r:embed="rId13"/>
                    <a:stretch>
                      <a:fillRect/>
                    </a:stretch>
                  </pic:blipFill>
                  <pic:spPr bwMode="auto">
                    <a:xfrm>
                      <a:off x="0" y="0"/>
                      <a:ext cx="5562600" cy="5765800"/>
                    </a:xfrm>
                    <a:prstGeom prst="rect">
                      <a:avLst/>
                    </a:prstGeom>
                    <a:noFill/>
                    <a:ln w="9525">
                      <a:noFill/>
                      <a:headEnd/>
                      <a:tailEnd/>
                    </a:ln>
                  </pic:spPr>
                </pic:pic>
              </a:graphicData>
            </a:graphic>
          </wp:inline>
        </w:drawing>
      </w:r>
    </w:p>
    <w:p w14:paraId="54B1A4CC" w14:textId="20C3EA0F" w:rsidR="00962712" w:rsidRDefault="00BF4269">
      <w:pPr>
        <w:jc w:val="center"/>
      </w:pPr>
      <w:bookmarkStart w:id="33" w:name="_Toc225890361"/>
      <w:r>
        <w:rPr>
          <w:i/>
          <w:sz w:val="20"/>
        </w:rPr>
        <w:lastRenderedPageBreak/>
        <w:t xml:space="preserve">Figura </w:t>
      </w:r>
      <w:fldSimple w:instr=" SEQ Figure \* ARABIC ">
        <w:r w:rsidR="00F45D69">
          <w:rPr>
            <w:noProof/>
          </w:rPr>
          <w:t>6</w:t>
        </w:r>
      </w:fldSimple>
      <w:r>
        <w:rPr>
          <w:i/>
          <w:sz w:val="20"/>
        </w:rPr>
        <w:t>. Limitaciones de la investigación y estrategias de mitigación</w:t>
      </w:r>
      <w:bookmarkEnd w:id="33"/>
    </w:p>
    <w:p w14:paraId="3E0C0AAA" w14:textId="77777777" w:rsidR="00962712" w:rsidRDefault="00BF4269">
      <w:pPr>
        <w:jc w:val="center"/>
      </w:pPr>
      <w:r>
        <w:rPr>
          <w:i/>
          <w:iCs/>
          <w:sz w:val="20"/>
        </w:rPr>
        <w:t>Nota.</w:t>
      </w:r>
      <w:r>
        <w:rPr>
          <w:sz w:val="20"/>
        </w:rPr>
        <w:t xml:space="preserve"> Elaboración propia.</w:t>
      </w:r>
    </w:p>
    <w:p w14:paraId="6F01EC74" w14:textId="77777777" w:rsidR="00962712" w:rsidRDefault="00BF4269">
      <w:pPr>
        <w:pStyle w:val="Ttulo3"/>
      </w:pPr>
      <w:bookmarkStart w:id="34" w:name="disponibilidad-y-calidad-de-los-datos"/>
      <w:bookmarkStart w:id="35" w:name="_Toc225890731"/>
      <w:r>
        <w:t>1.4.1. Disponibilidad y calidad de los datos</w:t>
      </w:r>
      <w:bookmarkEnd w:id="35"/>
    </w:p>
    <w:p w14:paraId="37D91008" w14:textId="77777777" w:rsidR="00962712" w:rsidRDefault="00BF4269">
      <w:r>
        <w:t xml:space="preserve">Los registros clínico-administrativos de los establecimientos del MINSA presentan deficiencias estructurales, inconsistencias semánticas y ausencia de estándares uniformes, lo que afecta la exactitud de la fase diagnóstica de brechas definida en el objetivo específico 1. </w:t>
      </w:r>
      <w:proofErr w:type="spellStart"/>
      <w:r>
        <w:t>Torab-Miandoab</w:t>
      </w:r>
      <w:proofErr w:type="spellEnd"/>
      <w:r>
        <w:t xml:space="preserve"> et al. (2023), en su revisión sistemática de 45 estudios sobre sistemas EHR heterogéneos, documentan que los esquemas propietarios y la variabilidad en las convenciones de registro (por ejemplo, diferencias de nomenclatura entre establecimientos para un mismo diagnóstico) incrementan sustancialmente la complejidad de normalización y mapeo de datos, lo cual es directamente relevante para las brechas de codificación y completitud identificadas en el planteamiento del problema.</w:t>
      </w:r>
    </w:p>
    <w:p w14:paraId="1D48E058" w14:textId="77777777" w:rsidR="00962712" w:rsidRDefault="00BF4269">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las brechas de completitud y codificación.</w:t>
      </w:r>
    </w:p>
    <w:p w14:paraId="0FD356DB" w14:textId="77777777" w:rsidR="00962712" w:rsidRDefault="00BF4269">
      <w:r>
        <w:t>Ante esta limitación, en la presente investigación se implementarán criterios de exclusión para registros con grado de incompletitud superior a un umbral previamente definido, y se documentará el porcentaje de datos excluidos para delimitar con transparencia el alcance real de la muestra analizada.</w:t>
      </w:r>
    </w:p>
    <w:p w14:paraId="39B7BC97" w14:textId="77777777" w:rsidR="00962712" w:rsidRDefault="00BF4269">
      <w:pPr>
        <w:pStyle w:val="Ttulo3"/>
      </w:pPr>
      <w:bookmarkStart w:id="36" w:name="acceso-a-fuentes-de-información"/>
      <w:bookmarkStart w:id="37" w:name="_Toc225890732"/>
      <w:bookmarkEnd w:id="34"/>
      <w:r>
        <w:t>1.4.2. Acceso a fuentes de información</w:t>
      </w:r>
      <w:bookmarkEnd w:id="37"/>
    </w:p>
    <w:p w14:paraId="58CACD10" w14:textId="77777777" w:rsidR="00962712" w:rsidRDefault="00BF4269">
      <w:r>
        <w:t xml:space="preserve">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w:t>
      </w:r>
      <w:r>
        <w:lastRenderedPageBreak/>
        <w:t xml:space="preserve">puntos de acceso o permisos de solo lectura en </w:t>
      </w:r>
      <w:proofErr w:type="spellStart"/>
      <w:r>
        <w:t>endpoints</w:t>
      </w:r>
      <w:proofErr w:type="spellEnd"/>
      <w:r>
        <w:t xml:space="preserve"> FHIR disponibles. Esta situación dificulta la incorporación oportuna de datos, especialmente en un entorno con divisiones verticales entre aseguramiento (SIS) y prestación (MINSA/HIS).</w:t>
      </w:r>
    </w:p>
    <w:p w14:paraId="7729C157" w14:textId="77777777" w:rsidR="00962712" w:rsidRDefault="00BF4269">
      <w:r>
        <w:t>Mauricio et al. (2024), con base en su encuesta a 120 proveedores de salud en Perú, reportan hallazgos que dimensionan esta limitación:</w:t>
      </w:r>
    </w:p>
    <w:p w14:paraId="17EB2157" w14:textId="77777777" w:rsidR="00962712" w:rsidRDefault="00BF4269">
      <w:pPr>
        <w:numPr>
          <w:ilvl w:val="0"/>
          <w:numId w:val="61"/>
        </w:numPr>
      </w:pPr>
      <w:r>
        <w:t xml:space="preserve">Apenas el 42 % de las instalaciones urbanas y el 18 % de las rurales cuentan con sistemas EHR operativos; en regiones de sierra y selva, el 65 % aún depende de registros en papel o planillas sin </w:t>
      </w:r>
      <w:proofErr w:type="spellStart"/>
      <w:r>
        <w:t>APIs</w:t>
      </w:r>
      <w:proofErr w:type="spellEnd"/>
      <w:r>
        <w:t xml:space="preserve"> disponibles, lo que restringe la verificación de las dimensiones de completitud y codificación.</w:t>
      </w:r>
    </w:p>
    <w:p w14:paraId="326ACE76" w14:textId="77777777" w:rsidR="00962712" w:rsidRDefault="00BF4269">
      <w:pPr>
        <w:numPr>
          <w:ilvl w:val="0"/>
          <w:numId w:val="61"/>
        </w:numPr>
      </w:pPr>
      <w:r>
        <w:t>Las zonas rurales reportan que el 72 % de las interrupciones afectan la continuidad de la atención —por ejemplo, traslados interhospitalarios sin historial digital—, con tiempos de conciliación manual de 48 a 72 horas, situación que compromete directamente la trazabilidad.</w:t>
      </w:r>
    </w:p>
    <w:p w14:paraId="467F6620" w14:textId="77777777" w:rsidR="00962712" w:rsidRDefault="00BF4269">
      <w:pPr>
        <w:numPr>
          <w:ilvl w:val="0"/>
          <w:numId w:val="61"/>
        </w:numPr>
      </w:pPr>
      <w:r>
        <w:t>Solo el 22 % de los establecimientos posee integraciones HL7/FHIR; el resto recurre a documentos PDF escaneados, lo que eleva la tasa de errores en la entrada de datos al 35 % y dificulta la evaluación de la codificación estandarizada.</w:t>
      </w:r>
    </w:p>
    <w:p w14:paraId="207DAAA0" w14:textId="77777777" w:rsidR="00962712" w:rsidRDefault="00BF4269">
      <w:pPr>
        <w:numPr>
          <w:ilvl w:val="0"/>
          <w:numId w:val="61"/>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10077D2A" w14:textId="77777777" w:rsidR="00962712" w:rsidRDefault="00BF4269">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0A598136" w14:textId="77777777" w:rsidR="00962712" w:rsidRDefault="00BF4269">
      <w:r>
        <w:t xml:space="preserve">Ante esta limitación, en la presente investigación se gestionarán los permisos institucionales desde la fase inicial del proyecto y se establecerán acuerdos de confidencialidad. En caso de restricciones de acceso, se emplearán datos anonimizados o sintéticos para las pruebas técnicas, siguiendo el enfoque de </w:t>
      </w:r>
      <w:proofErr w:type="spellStart"/>
      <w:r>
        <w:t>datasets</w:t>
      </w:r>
      <w:proofErr w:type="spellEnd"/>
      <w:r>
        <w:t xml:space="preserve"> sintéticos HHIMS documentado por Jayathissa y </w:t>
      </w:r>
      <w:proofErr w:type="spellStart"/>
      <w:r>
        <w:t>Hewapathrana</w:t>
      </w:r>
      <w:proofErr w:type="spellEnd"/>
      <w:r>
        <w:t xml:space="preserve"> (2024).</w:t>
      </w:r>
    </w:p>
    <w:p w14:paraId="26BEBD00" w14:textId="77777777" w:rsidR="00962712" w:rsidRDefault="00BF4269">
      <w:pPr>
        <w:pStyle w:val="Ttulo3"/>
      </w:pPr>
      <w:bookmarkStart w:id="38" w:name="alcance-geográfico"/>
      <w:bookmarkStart w:id="39" w:name="_Toc225890733"/>
      <w:bookmarkEnd w:id="36"/>
      <w:r>
        <w:lastRenderedPageBreak/>
        <w:t>1.4.3. Alcance geográfico</w:t>
      </w:r>
      <w:bookmarkEnd w:id="39"/>
    </w:p>
    <w:p w14:paraId="7E656E4E" w14:textId="77777777" w:rsidR="00962712" w:rsidRDefault="00BF4269">
      <w:r>
        <w:t>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manuales (Mauricio et al., 2024). Holmgren et al. (2023), en su análisis comparado de políticas de intercambio en cinco países, corroboran que los modelos de interoperabilidad diseñados para entornos urbanos con infraestructura madura presentan dificultades significativas de transferencia a contextos con menor madurez digital.</w:t>
      </w:r>
    </w:p>
    <w:p w14:paraId="1445A737" w14:textId="77777777" w:rsidR="00962712" w:rsidRDefault="00BF4269">
      <w:r>
        <w:t xml:space="preserve">En consecuencia, el modelo propuesto —y los resultados de la evaluación </w:t>
      </w:r>
      <w:proofErr w:type="spellStart"/>
      <w:r>
        <w:t>pre-post</w:t>
      </w:r>
      <w:proofErr w:type="spellEnd"/>
      <w:r>
        <w:t xml:space="preserve"> intervención— son válidos para el contexto específico del estudio, pero requieren adaptaciones para su escalabilidad a otras localidades, aspecto que se aborda como lineamiento en el objetivo específico 4.</w:t>
      </w:r>
    </w:p>
    <w:p w14:paraId="4F2CACA4" w14:textId="77777777" w:rsidR="00962712" w:rsidRDefault="00BF4269">
      <w:r>
        <w:t>Ante esta limitación, en la presente investigación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7FE7EA3D" w14:textId="77777777" w:rsidR="00962712" w:rsidRDefault="00BF4269">
      <w:pPr>
        <w:pStyle w:val="Ttulo3"/>
      </w:pPr>
      <w:bookmarkStart w:id="40" w:name="X7f33e2368f10322af7e6e3aba6829813438fbe7"/>
      <w:bookmarkStart w:id="41" w:name="_Toc225890734"/>
      <w:bookmarkEnd w:id="38"/>
      <w:r>
        <w:t>1.4.4. Limitaciones del modelo de interoperabilidad implementado</w:t>
      </w:r>
      <w:bookmarkEnd w:id="41"/>
    </w:p>
    <w:p w14:paraId="7F121E1E" w14:textId="77777777" w:rsidR="00962712" w:rsidRDefault="00BF4269">
      <w:r>
        <w:t xml:space="preserve">La adopción de HL7 FHIR no garantiza por sí sola la interoperabilidad efectiva entre sistemas. Kramer y </w:t>
      </w:r>
      <w:proofErr w:type="spellStart"/>
      <w:r>
        <w:t>Moesel</w:t>
      </w:r>
      <w:proofErr w:type="spellEnd"/>
      <w:r>
        <w:t xml:space="preserve">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cuyos perfiles FHIR podrían diferir en interpretación.</w:t>
      </w:r>
    </w:p>
    <w:p w14:paraId="751A5DC1" w14:textId="77777777" w:rsidR="00962712" w:rsidRDefault="00BF4269">
      <w:r>
        <w:lastRenderedPageBreak/>
        <w:t>Adicionalmente, Vorisek et al. (2022) señalan como limitaciones inherentes a FHIR el posible cambio en el contenido de los recursos entre versiones del estándar, los requisitos de seguridad para proteger información clínica sensible y la dependencia de un servidor FHIR como punto de articulación. En el contexto peruano, donde coexisten sistemas con distinto nivel de madurez tecnológica, estas limitaciones pueden amplificarse al momento de integrar establecimientos de diferente complejidad.</w:t>
      </w:r>
    </w:p>
    <w:p w14:paraId="0F8BB4DF" w14:textId="77777777" w:rsidR="00962712" w:rsidRDefault="00BF4269">
      <w:r>
        <w:t xml:space="preserve">Ante esta limitación, en la presente investigación se emplearán perfiles FHIR alineados con estándares de uso extendido (US Core, International Patient </w:t>
      </w:r>
      <w:proofErr w:type="spellStart"/>
      <w:r>
        <w:t>Summary</w:t>
      </w:r>
      <w:proofErr w:type="spellEnd"/>
      <w:r>
        <w:t>) y se documentarán de forma explícita las decisiones de diseño, las versiones de recursos utilizadas y las limitaciones de compatibilidad conocidas.</w:t>
      </w:r>
    </w:p>
    <w:p w14:paraId="7DA676F2" w14:textId="77777777" w:rsidR="00962712" w:rsidRDefault="00BF4269">
      <w:pPr>
        <w:pStyle w:val="Ttulo3"/>
      </w:pPr>
      <w:bookmarkStart w:id="42" w:name="variables-no-identificadas"/>
      <w:bookmarkStart w:id="43" w:name="_Toc225890735"/>
      <w:bookmarkEnd w:id="40"/>
      <w:r>
        <w:t>1.4.5. Variables no identificadas</w:t>
      </w:r>
      <w:bookmarkEnd w:id="43"/>
    </w:p>
    <w:p w14:paraId="762E1AFF" w14:textId="77777777" w:rsidR="00962712" w:rsidRDefault="00BF4269">
      <w:r>
        <w:t xml:space="preserve">Es posible que factores organizativos, culturales o técnicos no contemplados en el diseño inicial incidan sobre los resultados del piloto. </w:t>
      </w:r>
      <w:proofErr w:type="spellStart"/>
      <w:r>
        <w:t>Heryawan</w:t>
      </w:r>
      <w:proofErr w:type="spellEnd"/>
      <w:r>
        <w:t xml:space="preserve"> et al. (2025), en su análisis de contenido sobre incidencias reportadas en la plataforma nacional de salud digital de Indonesia (</w:t>
      </w:r>
      <w:proofErr w:type="spellStart"/>
      <w:r>
        <w:t>Satusehat</w:t>
      </w:r>
      <w:proofErr w:type="spellEnd"/>
      <w:r>
        <w:t>), identifican que las dificultades más frecuentes en implementaciones FHIR se relacionan con fallos de servidor (57%), problemas de mapeo de datos heredados (34%) y selección inadecuada de perfiles (9%). Estos problemas tienden a manifestarse durante la operación real y no durante las pruebas controladas, lo que subraya la necesidad de contemplar variables emergentes que solo se identifican en la interacción cotidiana con el personal de salud y los sistemas en producción.</w:t>
      </w:r>
    </w:p>
    <w:p w14:paraId="61CE96DB" w14:textId="77777777" w:rsidR="00962712" w:rsidRDefault="00BF4269">
      <w:r>
        <w:t>En el caso peruano, donde los sistemas son diversos y en muchos casos obsoletos, la probabilidad de que surjan obstáculos no anticipados durante la implementación piloto es relevante y debe ser explícitamente reconocida como limitación del diseño.</w:t>
      </w:r>
    </w:p>
    <w:p w14:paraId="4D7E30E4" w14:textId="77777777" w:rsidR="00962712" w:rsidRDefault="00BF4269">
      <w:r>
        <w:t>Ante esta limitación, en la presente investigación se incorporará un componente cualitativo mediante entrevistas semiestructuradas al personal de salud participante, orientado a captar factores emergentes, barreras no anticipadas y condiciones contextuales que puedan incidir en la efectividad del modelo.</w:t>
      </w:r>
    </w:p>
    <w:p w14:paraId="7D2672CA" w14:textId="77777777" w:rsidR="00962712" w:rsidRDefault="00BF4269">
      <w:pPr>
        <w:pStyle w:val="Ttulo3"/>
      </w:pPr>
      <w:bookmarkStart w:id="44" w:name="restricciones-de-tiempo-y-recursos"/>
      <w:bookmarkStart w:id="45" w:name="_Toc225890736"/>
      <w:bookmarkEnd w:id="42"/>
      <w:r>
        <w:t>1.4.6. Restricciones de tiempo y recursos</w:t>
      </w:r>
      <w:bookmarkEnd w:id="45"/>
    </w:p>
    <w:p w14:paraId="470EB907" w14:textId="77777777" w:rsidR="00962712" w:rsidRDefault="00BF4269">
      <w:r>
        <w:lastRenderedPageBreak/>
        <w:t>La implementación del proyecto piloto está circunscrita al periodo académico de la investigación, lo cual impone restricciones sobre el alcance de la intervención y el seguimiento de resultados. La OPS (2024) reconoce que los procesos de 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1ADD0EF2" w14:textId="77777777" w:rsidR="00962712" w:rsidRDefault="00BF4269">
      <w:r>
        <w:t xml:space="preserve">La experiencia nacional respalda esta restricción. Porras Gamarra (2024) documenta que la implementación de interoperabilidad HL7 FHIR y </w:t>
      </w:r>
      <w:proofErr w:type="spellStart"/>
      <w:r>
        <w:t>openEHR</w:t>
      </w:r>
      <w:proofErr w:type="spellEnd"/>
      <w:r>
        <w:t xml:space="preserve"> en un entorno hospitalario real involucró múltiples iteraciones de ajuste y validación, y Arrué Pajares y Vargas Rioja (2022) reportan que su implementación de HIS interoperable basado en HL7 v2 requirió una fase extensa de configuración y pruebas adaptadas a la infraestructura local. En contextos internacionales con desafíos similares de madurez digital, </w:t>
      </w:r>
      <w:proofErr w:type="spellStart"/>
      <w:r>
        <w:t>Heryawan</w:t>
      </w:r>
      <w:proofErr w:type="spellEnd"/>
      <w:r>
        <w:t xml:space="preserve"> et al. (2025) muestran que la adopción de FHIR en Indonesia avanzó de forma incremental, priorizando funcionalidades críticas en cada iteración.</w:t>
      </w:r>
    </w:p>
    <w:p w14:paraId="2D9325BE" w14:textId="77777777" w:rsidR="00962712" w:rsidRDefault="00BF4269">
      <w:r>
        <w:t>Ante esta limitación, en la presente investigación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011BBCF9" w14:textId="77777777" w:rsidR="00962712" w:rsidRDefault="00BF4269">
      <w:pPr>
        <w:pStyle w:val="Ttulo1"/>
        <w:pageBreakBefore/>
      </w:pPr>
      <w:bookmarkStart w:id="46" w:name="capítulo-ii-marco-teórico"/>
      <w:bookmarkStart w:id="47" w:name="_Toc225890737"/>
      <w:bookmarkEnd w:id="4"/>
      <w:bookmarkEnd w:id="31"/>
      <w:bookmarkEnd w:id="44"/>
      <w:r>
        <w:lastRenderedPageBreak/>
        <w:t>Capítulo II. Marco teórico</w:t>
      </w:r>
      <w:bookmarkEnd w:id="47"/>
    </w:p>
    <w:p w14:paraId="202D52DB" w14:textId="77777777" w:rsidR="00962712" w:rsidRDefault="00BF4269">
      <w:pPr>
        <w:pStyle w:val="Ttulo2"/>
      </w:pPr>
      <w:bookmarkStart w:id="48" w:name="antecedentes-del-problema"/>
      <w:bookmarkStart w:id="49" w:name="_Toc225890738"/>
      <w:r>
        <w:t>2.1. Antecedentes del problema</w:t>
      </w:r>
      <w:bookmarkEnd w:id="49"/>
    </w:p>
    <w:p w14:paraId="05D07075" w14:textId="77777777" w:rsidR="00962712" w:rsidRDefault="00BF4269">
      <w:pPr>
        <w:pStyle w:val="Ttulo3"/>
      </w:pPr>
      <w:bookmarkStart w:id="50" w:name="internacionales"/>
      <w:bookmarkStart w:id="51" w:name="_Toc225890739"/>
      <w:r>
        <w:t>2.1.1. Internacionales</w:t>
      </w:r>
      <w:bookmarkEnd w:id="51"/>
    </w:p>
    <w:p w14:paraId="2876EFC4" w14:textId="77777777" w:rsidR="00962712" w:rsidRDefault="00BF4269">
      <w:r>
        <w:rPr>
          <w:b/>
          <w:bCs/>
        </w:rPr>
        <w:t>ADELUSI ET AL. (2025)</w:t>
      </w:r>
      <w:r>
        <w:t xml:space="preserve"> </w:t>
      </w:r>
      <w:r>
        <w:rPr>
          <w:b/>
          <w:bCs/>
        </w:rPr>
        <w:t>Aporte:</w:t>
      </w:r>
      <w:r>
        <w:t xml:space="preserve"> Proponen un </w:t>
      </w:r>
      <w:proofErr w:type="spellStart"/>
      <w:r>
        <w:t>framework</w:t>
      </w:r>
      <w:proofErr w:type="spellEnd"/>
      <w:r>
        <w:t xml:space="preserve"> federado basado en HL7 FHIR para intercambio seguro entre hospitales heterogéneos, integrando principios de aprendizaje federado con gobernanza de datos y mecanismos de cumplimiento normativo. </w:t>
      </w:r>
      <w:r>
        <w:rPr>
          <w:b/>
          <w:bCs/>
        </w:rPr>
        <w:t>Problema:</w:t>
      </w:r>
      <w:r>
        <w:t xml:space="preserve"> Fragmentación de EHR y riesgos de seguridad inherentes a modelos centralizados de intercambio de datos clínicos entre múltiples hospitales con plataformas disímiles. </w:t>
      </w:r>
      <w:r>
        <w:rPr>
          <w:b/>
          <w:bCs/>
        </w:rPr>
        <w:t>Objetivo:</w:t>
      </w:r>
      <w:r>
        <w:t xml:space="preserve"> Demostrar que una arquitectura federada basada en FHIR mejora la interoperabilidad sin centralizar datos clínicos crudos. </w:t>
      </w:r>
      <w:r>
        <w:rPr>
          <w:b/>
          <w:bCs/>
        </w:rPr>
        <w:t>Metodología:</w:t>
      </w:r>
      <w:r>
        <w:t xml:space="preserve"> Diseño y evaluación de </w:t>
      </w:r>
      <w:proofErr w:type="spellStart"/>
      <w:r>
        <w:t>framework</w:t>
      </w:r>
      <w:proofErr w:type="spellEnd"/>
      <w:r>
        <w:t xml:space="preserve"> en entorno simulado compuesto por tres sistemas hospitalarios con plataformas EHR diferentes (</w:t>
      </w:r>
      <w:proofErr w:type="spellStart"/>
      <w:r>
        <w:rPr>
          <w:i/>
          <w:iCs/>
        </w:rPr>
        <w:t>Engineering</w:t>
      </w:r>
      <w:proofErr w:type="spellEnd"/>
      <w:r>
        <w:rPr>
          <w:i/>
          <w:iCs/>
        </w:rPr>
        <w:t xml:space="preserve"> and </w:t>
      </w:r>
      <w:proofErr w:type="spellStart"/>
      <w:r>
        <w:rPr>
          <w:i/>
          <w:iCs/>
        </w:rPr>
        <w:t>Technology</w:t>
      </w:r>
      <w:proofErr w:type="spellEnd"/>
      <w:r>
        <w:rPr>
          <w:i/>
          <w:iCs/>
        </w:rPr>
        <w:t xml:space="preserve"> </w:t>
      </w:r>
      <w:proofErr w:type="spellStart"/>
      <w:r>
        <w:rPr>
          <w:i/>
          <w:iCs/>
        </w:rPr>
        <w:t>Journal</w:t>
      </w:r>
      <w:proofErr w:type="spellEnd"/>
      <w:r>
        <w:t xml:space="preserve">). </w:t>
      </w:r>
      <w:r>
        <w:rPr>
          <w:b/>
          <w:bCs/>
        </w:rPr>
        <w:t>Instrumentos de evaluación:</w:t>
      </w:r>
      <w:r>
        <w:t xml:space="preserve"> Pruebas de recuperación de datos, medición de latencia, verificación de adherencia al protocolo FHIR y pruebas de escalabilidad. El entorno simuló un </w:t>
      </w:r>
      <w:proofErr w:type="spellStart"/>
      <w:r>
        <w:t>gateway</w:t>
      </w:r>
      <w:proofErr w:type="spellEnd"/>
      <w:r>
        <w:t xml:space="preserve"> de interoperabilidad, </w:t>
      </w:r>
      <w:proofErr w:type="spellStart"/>
      <w:r>
        <w:t>APIs</w:t>
      </w:r>
      <w:proofErr w:type="spellEnd"/>
      <w:r>
        <w:t xml:space="preserve"> FHIR, módulos de gestión de consentimiento y repositorios distribuidos con validación por consenso. </w:t>
      </w:r>
      <w:r>
        <w:rPr>
          <w:b/>
          <w:bCs/>
        </w:rPr>
        <w:t>Métricas o indicadores de desempeño:</w:t>
      </w:r>
      <w:r>
        <w:t xml:space="preserve"> Precisión de recuperación de datos, latencia de respuesta, tasa de adherencia al protocolo FHIR y capacidad de escalabilidad. </w:t>
      </w:r>
      <w:r>
        <w:rPr>
          <w:b/>
          <w:bCs/>
        </w:rPr>
        <w:t>Resultados:</w:t>
      </w:r>
      <w:r>
        <w:t xml:space="preserve"> &gt;95 % de precisión en recuperación de datos, 38 % de reducción de latencia frente a sistema centralizado, adherencia total a protocolos FHIR y reducción significativa del riesgo de brechas de datos al no transferir datos crudos. </w:t>
      </w:r>
      <w:r>
        <w:rPr>
          <w:b/>
          <w:bCs/>
        </w:rPr>
        <w:t>Limitaciones:</w:t>
      </w:r>
      <w:r>
        <w:t xml:space="preserve"> Entorno exclusivamente simulado; sin implementación en hospitales reales. Los autores plantean como trabajo futuro integrar </w:t>
      </w:r>
      <w:proofErr w:type="spellStart"/>
      <w:r>
        <w:t>blockchain</w:t>
      </w:r>
      <w:proofErr w:type="spellEnd"/>
      <w:r>
        <w:t xml:space="preserve"> y cifrado </w:t>
      </w:r>
      <w:proofErr w:type="spellStart"/>
      <w:r>
        <w:t>homomórfico</w:t>
      </w:r>
      <w:proofErr w:type="spellEnd"/>
      <w:r>
        <w:t xml:space="preserve">. </w:t>
      </w:r>
      <w:r>
        <w:rPr>
          <w:b/>
          <w:bCs/>
        </w:rPr>
        <w:t>Crítica o aporte a la tesis:</w:t>
      </w:r>
      <w:r>
        <w:t xml:space="preserve"> La arquitectura federada validada respalda la viabilidad de intercambio FHIR entre establecimientos heterogéneos, condición afín al escenario MINSA con plataformas disímiles. Las métricas de integridad y latencia proveen un referente cuantitativo para la evaluación pre/post de esta investigación.</w:t>
      </w:r>
    </w:p>
    <w:p w14:paraId="75D8F752" w14:textId="77777777" w:rsidR="00962712" w:rsidRDefault="00BF4269">
      <w:r>
        <w:rPr>
          <w:b/>
          <w:bCs/>
        </w:rPr>
        <w:t>HERYAWAN ET AL. (2025)</w:t>
      </w:r>
      <w:r>
        <w:t xml:space="preserve"> </w:t>
      </w:r>
      <w:r>
        <w:rPr>
          <w:b/>
          <w:bCs/>
        </w:rPr>
        <w:t>Aporte:</w:t>
      </w:r>
      <w:r>
        <w:t xml:space="preserve"> Caracterizan barreras reales de implementación FHIR en la plataforma nacional </w:t>
      </w:r>
      <w:proofErr w:type="spellStart"/>
      <w:r>
        <w:t>Satusehat</w:t>
      </w:r>
      <w:proofErr w:type="spellEnd"/>
      <w:r>
        <w:t xml:space="preserve"> de Indonesia, primer despliegue masivo de interoperabilidad basada en FHIR en el sudeste asiático. </w:t>
      </w:r>
      <w:r>
        <w:rPr>
          <w:b/>
          <w:bCs/>
        </w:rPr>
        <w:lastRenderedPageBreak/>
        <w:t>Problema:</w:t>
      </w:r>
      <w:r>
        <w:t xml:space="preserve"> Dificultades técnicas recurrentes en el uso de servidores, perfiles y mapeo semántico de datos durante la adopción nacional de FHIR. </w:t>
      </w:r>
      <w:r>
        <w:rPr>
          <w:b/>
          <w:bCs/>
        </w:rPr>
        <w:t>Objetivo:</w:t>
      </w:r>
      <w:r>
        <w:t xml:space="preserve"> Identificar puntos críticos de adopción e integración para mejorar el despliegue interoperable nacional. </w:t>
      </w:r>
      <w:r>
        <w:rPr>
          <w:b/>
          <w:bCs/>
        </w:rPr>
        <w:t>Metodología:</w:t>
      </w:r>
      <w:r>
        <w:t xml:space="preserve"> Análisis de contenido cualitativo de interacciones del grupo </w:t>
      </w:r>
      <w:proofErr w:type="spellStart"/>
      <w:r>
        <w:t>Telegram</w:t>
      </w:r>
      <w:proofErr w:type="spellEnd"/>
      <w:r>
        <w:t xml:space="preserve"> del </w:t>
      </w:r>
      <w:proofErr w:type="spellStart"/>
      <w:r>
        <w:t>Developer</w:t>
      </w:r>
      <w:proofErr w:type="spellEnd"/>
      <w:r>
        <w:t xml:space="preserve"> </w:t>
      </w:r>
      <w:proofErr w:type="gramStart"/>
      <w:r>
        <w:t>Hub</w:t>
      </w:r>
      <w:proofErr w:type="gramEnd"/>
      <w:r>
        <w:t xml:space="preserve"> de </w:t>
      </w:r>
      <w:proofErr w:type="spellStart"/>
      <w:r>
        <w:t>Satusehat</w:t>
      </w:r>
      <w:proofErr w:type="spellEnd"/>
      <w:r>
        <w:t xml:space="preserve"> y de la documentación técnica oficial (</w:t>
      </w:r>
      <w:r>
        <w:rPr>
          <w:i/>
          <w:iCs/>
        </w:rPr>
        <w:t xml:space="preserve">JMIR Formative </w:t>
      </w:r>
      <w:proofErr w:type="spellStart"/>
      <w:r>
        <w:rPr>
          <w:i/>
          <w:iCs/>
        </w:rPr>
        <w:t>Research</w:t>
      </w:r>
      <w:proofErr w:type="spellEnd"/>
      <w:r>
        <w:t xml:space="preserve">). </w:t>
      </w:r>
      <w:r>
        <w:rPr>
          <w:b/>
          <w:bCs/>
        </w:rPr>
        <w:t>Instrumentos de evaluación:</w:t>
      </w:r>
      <w:r>
        <w:t xml:space="preserve"> Categorización temática de 107 incidencias reportadas y análisis de frecuencia por categoría. Fuente de datos: mensajes del grupo </w:t>
      </w:r>
      <w:proofErr w:type="spellStart"/>
      <w:r>
        <w:t>Telegram</w:t>
      </w:r>
      <w:proofErr w:type="spellEnd"/>
      <w:r>
        <w:t xml:space="preserve"> del </w:t>
      </w:r>
      <w:proofErr w:type="spellStart"/>
      <w:r>
        <w:t>Satusehat</w:t>
      </w:r>
      <w:proofErr w:type="spellEnd"/>
      <w:r>
        <w:t xml:space="preserve"> </w:t>
      </w:r>
      <w:proofErr w:type="spellStart"/>
      <w:r>
        <w:t>Developer</w:t>
      </w:r>
      <w:proofErr w:type="spellEnd"/>
      <w:r>
        <w:t xml:space="preserve"> </w:t>
      </w:r>
      <w:proofErr w:type="gramStart"/>
      <w:r>
        <w:t>Hub</w:t>
      </w:r>
      <w:proofErr w:type="gramEnd"/>
      <w:r>
        <w:t xml:space="preserve">. </w:t>
      </w:r>
      <w:r>
        <w:rPr>
          <w:b/>
          <w:bCs/>
        </w:rPr>
        <w:t>Métricas o indicadores de desempeño:</w:t>
      </w:r>
      <w:r>
        <w:t xml:space="preserve"> Frecuencia absoluta y porcentual de incidencias por categoría temática (servidor, mapeo, perfiles). </w:t>
      </w:r>
      <w:r>
        <w:rPr>
          <w:b/>
          <w:bCs/>
        </w:rPr>
        <w:t>Resultados:</w:t>
      </w:r>
      <w:r>
        <w:t xml:space="preserve"> De 107 incidencias, 61 correspondieron a problemas del servidor FHIR (57 %), 37 a dificultades de mapeo de datos (34 %) y 9 a selección de perfiles (9 %). Los autores proponen una arquitectura federada con componentes FHIR </w:t>
      </w:r>
      <w:proofErr w:type="spellStart"/>
      <w:r>
        <w:t>writer</w:t>
      </w:r>
      <w:proofErr w:type="spellEnd"/>
      <w:r>
        <w:t>/</w:t>
      </w:r>
      <w:proofErr w:type="spellStart"/>
      <w:r>
        <w:t>viewer</w:t>
      </w:r>
      <w:proofErr w:type="spellEnd"/>
      <w:r>
        <w:t xml:space="preserve">. </w:t>
      </w:r>
      <w:r>
        <w:rPr>
          <w:b/>
          <w:bCs/>
        </w:rPr>
        <w:t>Limitaciones:</w:t>
      </w:r>
      <w:r>
        <w:t xml:space="preserve"> Fuente de datos limitada a un canal de comunicación (</w:t>
      </w:r>
      <w:proofErr w:type="spellStart"/>
      <w:r>
        <w:t>Telegram</w:t>
      </w:r>
      <w:proofErr w:type="spellEnd"/>
      <w:r>
        <w:t xml:space="preserve">); podría no capturar problemas en establecimientos sin participación en dicho canal. </w:t>
      </w:r>
      <w:r>
        <w:rPr>
          <w:b/>
          <w:bCs/>
        </w:rPr>
        <w:t>Crítica o aporte a la tesis:</w:t>
      </w:r>
      <w:r>
        <w:t xml:space="preserve"> Los problemas de mapeo semántico y selección de perfiles son equivalentes a las brechas de </w:t>
      </w:r>
      <w:r>
        <w:rPr>
          <w:i/>
          <w:iCs/>
        </w:rPr>
        <w:t>codificación</w:t>
      </w:r>
      <w:r>
        <w:t xml:space="preserve"> que esta tesis diagnostica. La experiencia de despliegue nacional progresivo es un referente directo para la implementación incremental en centros MINSA.</w:t>
      </w:r>
    </w:p>
    <w:p w14:paraId="1F95076E" w14:textId="77777777" w:rsidR="00962712" w:rsidRDefault="00BF4269">
      <w:r>
        <w:rPr>
          <w:b/>
          <w:bCs/>
        </w:rPr>
        <w:t>AMAR ET AL. (2024)</w:t>
      </w:r>
      <w:r>
        <w:t xml:space="preserve"> </w:t>
      </w:r>
      <w:r>
        <w:rPr>
          <w:b/>
          <w:bCs/>
        </w:rPr>
        <w:t>Aporte:</w:t>
      </w:r>
      <w:r>
        <w:t xml:space="preserve"> Ofrecen taxonomía de seis enfoques para interoperabilidad semántica con FHIR, aportando una visión consolidada de las tendencias en integración semántica de datos clínicos. </w:t>
      </w:r>
      <w:r>
        <w:rPr>
          <w:b/>
          <w:bCs/>
        </w:rPr>
        <w:t>Problema:</w:t>
      </w:r>
      <w:r>
        <w:t xml:space="preserve"> Ausencia de consolidación sobre qué enfoques semánticos se utilizan en implementaciones FHIR y con qué peso relativo en la literatura. </w:t>
      </w:r>
      <w:r>
        <w:rPr>
          <w:b/>
          <w:bCs/>
        </w:rPr>
        <w:t>Objetivo:</w:t>
      </w:r>
      <w:r>
        <w:t xml:space="preserve"> Mapear tendencias metodológicas y tecnológicas en integración semántica de datos clínicos basados en FHIR. </w:t>
      </w:r>
      <w:r>
        <w:rPr>
          <w:b/>
          <w:bCs/>
        </w:rPr>
        <w:t>Metodología:</w:t>
      </w:r>
      <w:r>
        <w:t xml:space="preserve"> Revisión de mapeo sistemático de estudios publicados entre 2012 y 2022, con búsqueda en 10 bases de datos (</w:t>
      </w:r>
      <w:r>
        <w:rPr>
          <w:i/>
          <w:iCs/>
        </w:rPr>
        <w:t>JMIR</w:t>
      </w:r>
      <w:r>
        <w:t xml:space="preserve">). </w:t>
      </w:r>
      <w:r>
        <w:rPr>
          <w:b/>
          <w:bCs/>
        </w:rPr>
        <w:t>Instrumentos de evaluación:</w:t>
      </w:r>
      <w:r>
        <w:t xml:space="preserve"> Extracción estandarizada de datos y clasificación por categorías de enfoque semántico; n = 70 estudios incluidos. </w:t>
      </w:r>
      <w:r>
        <w:rPr>
          <w:b/>
          <w:bCs/>
        </w:rPr>
        <w:t>Métricas o indicadores de desempeño:</w:t>
      </w:r>
      <w:r>
        <w:t xml:space="preserve"> Distribución porcentual de enfoques semánticos por categoría y frecuencia de recursos FHIR utilizados. </w:t>
      </w:r>
      <w:r>
        <w:rPr>
          <w:b/>
          <w:bCs/>
        </w:rPr>
        <w:t>Resultados:</w:t>
      </w:r>
      <w:r>
        <w:t xml:space="preserve"> n = 70 estudios; seis categorías identificadas: mapeo (24,6 %), RDF/OWL (19,0 %), NLP/ML (15,9 %), </w:t>
      </w:r>
      <w:r>
        <w:lastRenderedPageBreak/>
        <w:t xml:space="preserve">servicios de terminología (14,3 %), anotación (14,3 %) y ontologías (11,9 %). FHIR R4B cuenta con 143 recursos organizados en 5 categorías. </w:t>
      </w:r>
      <w:r>
        <w:rPr>
          <w:b/>
          <w:bCs/>
        </w:rPr>
        <w:t>Limitaciones:</w:t>
      </w:r>
      <w:r>
        <w:t xml:space="preserve"> Cobertura solo hasta 2022; la evolución posterior de FHIR R5 y nuevas guías de implementación no están representadas. </w:t>
      </w:r>
      <w:r>
        <w:rPr>
          <w:b/>
          <w:bCs/>
        </w:rPr>
        <w:t>Crítica o aporte a la tesis:</w:t>
      </w:r>
      <w:r>
        <w:t xml:space="preserve"> La taxonomía de enfoques semánticos informa la selección de estrategias de codificación para la capa FHIR piloto de esta tesis, particularmente el mapeo terminológico (CIE-10, CPMS) como enfoque dominante.</w:t>
      </w:r>
    </w:p>
    <w:p w14:paraId="334AC1C8" w14:textId="77777777" w:rsidR="00962712" w:rsidRDefault="00BF4269">
      <w:r>
        <w:rPr>
          <w:b/>
          <w:bCs/>
        </w:rPr>
        <w:t>TABARI ET AL. (2024)</w:t>
      </w:r>
      <w:r>
        <w:t xml:space="preserve"> </w:t>
      </w:r>
      <w:r>
        <w:rPr>
          <w:b/>
          <w:bCs/>
        </w:rPr>
        <w:t>Aporte:</w:t>
      </w:r>
      <w:r>
        <w:t xml:space="preserve"> Sistematizan los modelos de datos FHIR y la priorización de recursos utilizados en implementaciones EHR, clasificando las arquitecturas de modelado en dos familias. </w:t>
      </w:r>
      <w:r>
        <w:rPr>
          <w:b/>
          <w:bCs/>
        </w:rPr>
        <w:t>Problema:</w:t>
      </w:r>
      <w:r>
        <w:t xml:space="preserve"> Dispersión de enfoques de modelado FHIR que dificulta el diseño coherente en proyectos de interoperabilidad clínica. </w:t>
      </w:r>
      <w:r>
        <w:rPr>
          <w:b/>
          <w:bCs/>
        </w:rPr>
        <w:t>Objetivo:</w:t>
      </w:r>
      <w:r>
        <w:t xml:space="preserve"> Describir estructuras de modelado FHIR usadas para integración, transmisión y análisis de datos clínicos. </w:t>
      </w:r>
      <w:r>
        <w:rPr>
          <w:b/>
          <w:bCs/>
        </w:rPr>
        <w:t>Metodología:</w:t>
      </w:r>
      <w:r>
        <w:t xml:space="preserve"> Scoping </w:t>
      </w:r>
      <w:proofErr w:type="spellStart"/>
      <w:r>
        <w:t>review</w:t>
      </w:r>
      <w:proofErr w:type="spellEnd"/>
      <w:r>
        <w:t xml:space="preserve"> conforme al protocolo PRISMA-</w:t>
      </w:r>
      <w:proofErr w:type="spellStart"/>
      <w:r>
        <w:t>ScR</w:t>
      </w:r>
      <w:proofErr w:type="spellEnd"/>
      <w:r>
        <w:t xml:space="preserve">, con búsqueda en PubMed, </w:t>
      </w:r>
      <w:proofErr w:type="spellStart"/>
      <w:r>
        <w:t>Scopus</w:t>
      </w:r>
      <w:proofErr w:type="spellEnd"/>
      <w:r>
        <w:t xml:space="preserve">, Web </w:t>
      </w:r>
      <w:proofErr w:type="spellStart"/>
      <w:r>
        <w:t>of</w:t>
      </w:r>
      <w:proofErr w:type="spellEnd"/>
      <w:r>
        <w:t xml:space="preserve"> </w:t>
      </w:r>
      <w:proofErr w:type="spellStart"/>
      <w:r>
        <w:t>Science</w:t>
      </w:r>
      <w:proofErr w:type="spellEnd"/>
      <w:r>
        <w:t>, IEEE, ACM y Google Scholar (</w:t>
      </w:r>
      <w:r>
        <w:rPr>
          <w:i/>
          <w:iCs/>
        </w:rPr>
        <w:t xml:space="preserve">JMIR Medical </w:t>
      </w:r>
      <w:proofErr w:type="spellStart"/>
      <w:r>
        <w:rPr>
          <w:i/>
          <w:iCs/>
        </w:rPr>
        <w:t>Informatics</w:t>
      </w:r>
      <w:proofErr w:type="spellEnd"/>
      <w:r>
        <w:t xml:space="preserve">). </w:t>
      </w:r>
      <w:r>
        <w:rPr>
          <w:b/>
          <w:bCs/>
        </w:rPr>
        <w:t>Instrumentos de evaluación:</w:t>
      </w:r>
      <w:r>
        <w:t xml:space="preserve"> Matriz de extracción comparativa por tipo de modelo y recurso FHIR utilizado; síntesis por dominio clínico (enfermedades crónicas, COVID-19, oncología, cuidados agudos, notas médicas). </w:t>
      </w:r>
      <w:r>
        <w:rPr>
          <w:b/>
          <w:bCs/>
        </w:rPr>
        <w:t>Métricas o indicadores de desempeño:</w:t>
      </w:r>
      <w:r>
        <w:t xml:space="preserve"> Frecuencia de uso de recursos FHIR y distribución de modelos por dominio clínico. </w:t>
      </w:r>
      <w:r>
        <w:rPr>
          <w:b/>
          <w:bCs/>
        </w:rPr>
        <w:t>Resultados:</w:t>
      </w:r>
      <w:r>
        <w:t xml:space="preserve"> Identifican dos familias de modelos: dinámicos (basados en pipelines de transformación) y estáticos (estructuras predefinidas). Los recursos más utilizados son </w:t>
      </w:r>
      <w:proofErr w:type="spellStart"/>
      <w:r>
        <w:t>Observation</w:t>
      </w:r>
      <w:proofErr w:type="spellEnd"/>
      <w:r>
        <w:t xml:space="preserve">, </w:t>
      </w:r>
      <w:proofErr w:type="spellStart"/>
      <w:r>
        <w:t>Condition</w:t>
      </w:r>
      <w:proofErr w:type="spellEnd"/>
      <w:r>
        <w:t xml:space="preserve"> y Patient. </w:t>
      </w:r>
      <w:r>
        <w:rPr>
          <w:b/>
          <w:bCs/>
        </w:rPr>
        <w:t>Limitaciones:</w:t>
      </w:r>
      <w:r>
        <w:t xml:space="preserve"> Revisión de alcance que no evalúa calidad metodológica de los estudios incluidos; se limita a describir tendencias sin medir efectividad comparativa. </w:t>
      </w:r>
      <w:r>
        <w:rPr>
          <w:b/>
          <w:bCs/>
        </w:rPr>
        <w:t>Crítica o aporte a la tesis:</w:t>
      </w:r>
      <w:r>
        <w:t xml:space="preserve"> La identificación de </w:t>
      </w:r>
      <w:proofErr w:type="spellStart"/>
      <w:r>
        <w:t>Observation</w:t>
      </w:r>
      <w:proofErr w:type="spellEnd"/>
      <w:r>
        <w:t xml:space="preserve">, </w:t>
      </w:r>
      <w:proofErr w:type="spellStart"/>
      <w:r>
        <w:t>Condition</w:t>
      </w:r>
      <w:proofErr w:type="spellEnd"/>
      <w:r>
        <w:t xml:space="preserve"> y Patient como los recursos más adoptados orienta directamente la selección de recursos para la capa de integración FHIR piloto de esta tesis.</w:t>
      </w:r>
    </w:p>
    <w:p w14:paraId="55F8DFAF" w14:textId="77777777" w:rsidR="00962712" w:rsidRDefault="00BF4269">
      <w:r>
        <w:rPr>
          <w:b/>
          <w:bCs/>
        </w:rPr>
        <w:t>BOSSENKO ET AL. (2024)</w:t>
      </w:r>
      <w:r>
        <w:t xml:space="preserve"> </w:t>
      </w:r>
      <w:r>
        <w:rPr>
          <w:b/>
          <w:bCs/>
        </w:rPr>
        <w:t>Aporte:</w:t>
      </w:r>
      <w:r>
        <w:t xml:space="preserve"> Desarrollan herramienta visual reutilizable para transformar documentos HL7 CDA hacia recursos HL7 FHIR utilizando el FHIR </w:t>
      </w:r>
      <w:proofErr w:type="spellStart"/>
      <w:r>
        <w:t>Mapping</w:t>
      </w:r>
      <w:proofErr w:type="spellEnd"/>
      <w:r>
        <w:t xml:space="preserve"> </w:t>
      </w:r>
      <w:proofErr w:type="spellStart"/>
      <w:r>
        <w:t>Language</w:t>
      </w:r>
      <w:proofErr w:type="spellEnd"/>
      <w:r>
        <w:t xml:space="preserve">, permitiendo que expertos de dominio con mínimas habilidades técnicas especifiquen reglas de transformación. </w:t>
      </w:r>
      <w:r>
        <w:rPr>
          <w:b/>
          <w:bCs/>
        </w:rPr>
        <w:t>Problema:</w:t>
      </w:r>
      <w:r>
        <w:t xml:space="preserve"> Complejidad del mapeo CDA-FHIR para equipos clínicos y técnicos en despliegues </w:t>
      </w:r>
      <w:r>
        <w:lastRenderedPageBreak/>
        <w:t xml:space="preserve">nacionales a escala. </w:t>
      </w:r>
      <w:r>
        <w:rPr>
          <w:b/>
          <w:bCs/>
        </w:rPr>
        <w:t>Objetivo:</w:t>
      </w:r>
      <w:r>
        <w:t xml:space="preserve"> Facilitar la transición nacional de interoperabilidad documental (CDA) a </w:t>
      </w:r>
      <w:proofErr w:type="spellStart"/>
      <w:r>
        <w:t>APIs</w:t>
      </w:r>
      <w:proofErr w:type="spellEnd"/>
      <w:r>
        <w:t xml:space="preserve"> FHIR con menor fricción técnica. </w:t>
      </w:r>
      <w:r>
        <w:rPr>
          <w:b/>
          <w:bCs/>
        </w:rPr>
        <w:t>Metodología:</w:t>
      </w:r>
      <w:r>
        <w:t xml:space="preserve">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con desarrollo y validación aplicada en la transición del sistema nacional de Estonia (ENHIS) hacia el ecosistema del </w:t>
      </w:r>
      <w:proofErr w:type="spellStart"/>
      <w:r>
        <w:t>European</w:t>
      </w:r>
      <w:proofErr w:type="spellEnd"/>
      <w:r>
        <w:t xml:space="preserve"> Health Data Space (</w:t>
      </w:r>
      <w:proofErr w:type="spellStart"/>
      <w:r>
        <w:rPr>
          <w:i/>
          <w:iCs/>
        </w:rPr>
        <w:t>Frontiers</w:t>
      </w:r>
      <w:proofErr w:type="spellEnd"/>
      <w:r>
        <w:rPr>
          <w:i/>
          <w:iCs/>
        </w:rPr>
        <w:t xml:space="preserve"> in Digital Health</w:t>
      </w:r>
      <w:r>
        <w:t xml:space="preserve">). </w:t>
      </w:r>
      <w:r>
        <w:rPr>
          <w:b/>
          <w:bCs/>
        </w:rPr>
        <w:t>Instrumentos de evaluación:</w:t>
      </w:r>
      <w:r>
        <w:t xml:space="preserve"> Evaluación por expertos de dominio del ENHIS sobre usabilidad, valor operativo y capacidad de reutilización de los componentes visuales de transformación. </w:t>
      </w:r>
      <w:r>
        <w:rPr>
          <w:b/>
          <w:bCs/>
        </w:rPr>
        <w:t>Métricas o indicadores de desempeño:</w:t>
      </w:r>
      <w:r>
        <w:t xml:space="preserve"> Valoración cualitativa de usabilidad y utilidad por parte de expertos clínicos y técnicos del sistema nacional estonio. </w:t>
      </w:r>
      <w:r>
        <w:rPr>
          <w:b/>
          <w:bCs/>
        </w:rPr>
        <w:t>Resultados:</w:t>
      </w:r>
      <w:r>
        <w:t xml:space="preserve"> Validación positiva de usabilidad y utilidad para transformación semántica reutilizable; los componentes visuales permiten que personal no programador defina reglas de mapeo CDA→FHIR. </w:t>
      </w:r>
      <w:r>
        <w:rPr>
          <w:b/>
          <w:bCs/>
        </w:rPr>
        <w:t>Limitaciones:</w:t>
      </w:r>
      <w:r>
        <w:t xml:space="preserve"> Evaluación basada en juicio experto cualitativo; no se reportan métricas cuantitativas de rendimiento o cobertura de los mapeos generados. </w:t>
      </w:r>
      <w:r>
        <w:rPr>
          <w:b/>
          <w:bCs/>
        </w:rPr>
        <w:t>Crítica o aporte a la tesis:</w:t>
      </w:r>
      <w:r>
        <w:t xml:space="preserve"> La metodología </w:t>
      </w:r>
      <w:proofErr w:type="spellStart"/>
      <w:r>
        <w:t>Design</w:t>
      </w:r>
      <w:proofErr w:type="spellEnd"/>
      <w:r>
        <w:t xml:space="preserve"> </w:t>
      </w:r>
      <w:proofErr w:type="spellStart"/>
      <w:r>
        <w:t>Science</w:t>
      </w:r>
      <w:proofErr w:type="spellEnd"/>
      <w:r>
        <w:t xml:space="preserve"> y la transición CDA→FHIR guiada por expertos de dominio es relevante para el contexto MINSA, donde herramientas accesibles de mapeo podrían facilitar la adopción de FHIR sin requerir perfiles altamente técnicos.</w:t>
      </w:r>
    </w:p>
    <w:p w14:paraId="47AA2819" w14:textId="77777777" w:rsidR="00962712" w:rsidRDefault="00BF4269">
      <w:r>
        <w:rPr>
          <w:b/>
          <w:bCs/>
        </w:rPr>
        <w:t>JAYATHISSA Y HEWAPATHRANA (2024)</w:t>
      </w:r>
      <w:r>
        <w:t xml:space="preserve"> </w:t>
      </w:r>
      <w:r>
        <w:rPr>
          <w:b/>
          <w:bCs/>
        </w:rPr>
        <w:t>Aporte:</w:t>
      </w:r>
      <w:r>
        <w:t xml:space="preserve"> Presentan caso técnico de implementación de servidor HAPI-FHIR para interoperabilidad en atención primaria en Sri Lanka, un contexto de recursos limitados comparable a países en desarrollo. </w:t>
      </w:r>
      <w:r>
        <w:rPr>
          <w:b/>
          <w:bCs/>
        </w:rPr>
        <w:t>Problema:</w:t>
      </w:r>
      <w:r>
        <w:t xml:space="preserve"> Sistemas de información de salud primaria no integrados, debilidades de autenticación y baja estandarización del intercambio clínico entre establecimientos. </w:t>
      </w:r>
      <w:r>
        <w:rPr>
          <w:b/>
          <w:bCs/>
        </w:rPr>
        <w:t>Objetivo:</w:t>
      </w:r>
      <w:r>
        <w:t xml:space="preserve"> Mejorar la interoperabilidad entre sistemas primarios integrando identidad de pacientes (</w:t>
      </w:r>
      <w:proofErr w:type="gramStart"/>
      <w:r>
        <w:t>Master</w:t>
      </w:r>
      <w:proofErr w:type="gramEnd"/>
      <w:r>
        <w:t xml:space="preserve"> Patient </w:t>
      </w:r>
      <w:proofErr w:type="spellStart"/>
      <w:r>
        <w:t>Index</w:t>
      </w:r>
      <w:proofErr w:type="spellEnd"/>
      <w:r>
        <w:t xml:space="preserve">), seguridad y flujo de datos estandarizado. </w:t>
      </w:r>
      <w:r>
        <w:rPr>
          <w:b/>
          <w:bCs/>
        </w:rPr>
        <w:t>Metodología:</w:t>
      </w:r>
      <w:r>
        <w:t xml:space="preserve"> Revisión técnica con implementación de caso de uso basada en el método ADR (</w:t>
      </w:r>
      <w:proofErr w:type="spellStart"/>
      <w:r>
        <w:t>Action</w:t>
      </w:r>
      <w:proofErr w:type="spellEnd"/>
      <w:r>
        <w:t xml:space="preserve"> </w:t>
      </w:r>
      <w:proofErr w:type="spellStart"/>
      <w:r>
        <w:t>Design</w:t>
      </w:r>
      <w:proofErr w:type="spellEnd"/>
      <w:r>
        <w:t xml:space="preserve"> </w:t>
      </w:r>
      <w:proofErr w:type="spellStart"/>
      <w:r>
        <w:t>Research</w:t>
      </w:r>
      <w:proofErr w:type="spellEnd"/>
      <w:r>
        <w:t>) e integración progresiva en el sistema de salud primaria de Sri Lanka (</w:t>
      </w:r>
      <w:proofErr w:type="spellStart"/>
      <w:r>
        <w:rPr>
          <w:i/>
          <w:iCs/>
        </w:rPr>
        <w:t>European</w:t>
      </w:r>
      <w:proofErr w:type="spellEnd"/>
      <w:r>
        <w:rPr>
          <w:i/>
          <w:iCs/>
        </w:rPr>
        <w:t xml:space="preserve"> Modern </w:t>
      </w:r>
      <w:proofErr w:type="spellStart"/>
      <w:r>
        <w:rPr>
          <w:i/>
          <w:iCs/>
        </w:rPr>
        <w:t>Studies</w:t>
      </w:r>
      <w:proofErr w:type="spellEnd"/>
      <w:r>
        <w:rPr>
          <w:i/>
          <w:iCs/>
        </w:rPr>
        <w:t xml:space="preserve"> </w:t>
      </w:r>
      <w:proofErr w:type="spellStart"/>
      <w:r>
        <w:rPr>
          <w:i/>
          <w:iCs/>
        </w:rPr>
        <w:t>Journal</w:t>
      </w:r>
      <w:proofErr w:type="spellEnd"/>
      <w:r>
        <w:t xml:space="preserve">). </w:t>
      </w:r>
      <w:r>
        <w:rPr>
          <w:b/>
          <w:bCs/>
        </w:rPr>
        <w:t>Instrumentos de evaluación:</w:t>
      </w:r>
      <w:r>
        <w:t xml:space="preserve"> Pruebas funcionales con </w:t>
      </w:r>
      <w:proofErr w:type="spellStart"/>
      <w:r>
        <w:t>datasets</w:t>
      </w:r>
      <w:proofErr w:type="spellEnd"/>
      <w:r>
        <w:t xml:space="preserve"> sintéticos del HHIMS y validación de intercambio entre componentes; integración de MPI para </w:t>
      </w:r>
      <w:proofErr w:type="spellStart"/>
      <w:r>
        <w:t>matching</w:t>
      </w:r>
      <w:proofErr w:type="spellEnd"/>
      <w:r>
        <w:t xml:space="preserve"> probabilístico de pacientes. </w:t>
      </w:r>
      <w:r>
        <w:rPr>
          <w:b/>
          <w:bCs/>
        </w:rPr>
        <w:t>Métricas o indicadores de desempeño:</w:t>
      </w:r>
      <w:r>
        <w:t xml:space="preserve"> Factibilidad técnica de integración, capacidad de intercambio entre sistemas primarios y secundarios, y escalabilidad del despliegue. </w:t>
      </w:r>
      <w:r>
        <w:rPr>
          <w:b/>
          <w:bCs/>
        </w:rPr>
        <w:t>Resultados:</w:t>
      </w:r>
      <w:r>
        <w:t xml:space="preserve"> Factibilidad técnica confirmada para integración FHIR en primer nivel de atención con enfoque </w:t>
      </w:r>
      <w:r>
        <w:lastRenderedPageBreak/>
        <w:t xml:space="preserve">escalable; demuestran viabilidad del MPI para interconectar sistemas heterogéneos a nivel de clúster de atención. </w:t>
      </w:r>
      <w:r>
        <w:rPr>
          <w:b/>
          <w:bCs/>
        </w:rPr>
        <w:t>Limitaciones:</w:t>
      </w:r>
      <w:r>
        <w:t xml:space="preserve"> Implementación circunscrita a un caso técnico de revisión; no reporta métricas cuantitativas de rendimiento en producción. </w:t>
      </w:r>
      <w:r>
        <w:rPr>
          <w:b/>
          <w:bCs/>
        </w:rPr>
        <w:t>Crítica o aporte a la tesis:</w:t>
      </w:r>
      <w:r>
        <w:t xml:space="preserve"> El escenario de atención primaria con recursos limitados es directamente comparable al primer nivel del MINSA. La combinación HAPI-FHIR con MPI y despliegue progresivo informa la estrategia de implementación piloto de esta tesis.</w:t>
      </w:r>
    </w:p>
    <w:p w14:paraId="65D113A8" w14:textId="77777777" w:rsidR="00962712" w:rsidRDefault="00BF4269">
      <w:r>
        <w:rPr>
          <w:b/>
          <w:bCs/>
        </w:rPr>
        <w:t>TORAB-MIANDOAB ET AL. (2023)</w:t>
      </w:r>
      <w:r>
        <w:t xml:space="preserve"> </w:t>
      </w:r>
      <w:r>
        <w:rPr>
          <w:b/>
          <w:bCs/>
        </w:rPr>
        <w:t>Aporte:</w:t>
      </w:r>
      <w:r>
        <w:t xml:space="preserve"> Consolidan los requisitos de interoperabilidad para sistemas de salud heterogéneos en múltiples países, identificando los estándares y tecnologías más citados como críticos. </w:t>
      </w:r>
      <w:r>
        <w:rPr>
          <w:b/>
          <w:bCs/>
        </w:rPr>
        <w:t>Problema:</w:t>
      </w:r>
      <w:r>
        <w:t xml:space="preserve"> Falta de interoperabilidad entre sistemas propietarios y heterogéneos con impacto directo en la calidad asistencial y coordinación clínica. </w:t>
      </w:r>
      <w:r>
        <w:rPr>
          <w:b/>
          <w:bCs/>
        </w:rPr>
        <w:t>Objetivo:</w:t>
      </w:r>
      <w:r>
        <w:t xml:space="preserve"> Identificar tecnologías y estándares críticos para habilitar HCE interoperable de forma sostenible. </w:t>
      </w:r>
      <w:r>
        <w:rPr>
          <w:b/>
          <w:bCs/>
        </w:rPr>
        <w:t>Metodología:</w:t>
      </w:r>
      <w:r>
        <w:t xml:space="preserve"> Revisión sistemática conforme al protocolo PRISMA, con búsqueda en seis bases de datos: PubMed, Web </w:t>
      </w:r>
      <w:proofErr w:type="spellStart"/>
      <w:r>
        <w:t>of</w:t>
      </w:r>
      <w:proofErr w:type="spellEnd"/>
      <w:r>
        <w:t xml:space="preserve"> </w:t>
      </w:r>
      <w:proofErr w:type="spellStart"/>
      <w:r>
        <w:t>Science</w:t>
      </w:r>
      <w:proofErr w:type="spellEnd"/>
      <w:r>
        <w:t xml:space="preserve">, </w:t>
      </w:r>
      <w:proofErr w:type="spellStart"/>
      <w:r>
        <w:t>Scopus</w:t>
      </w:r>
      <w:proofErr w:type="spellEnd"/>
      <w:r>
        <w:t xml:space="preserve">, MEDLINE, Cochrane Library y </w:t>
      </w:r>
      <w:proofErr w:type="spellStart"/>
      <w:r>
        <w:t>Embase</w:t>
      </w:r>
      <w:proofErr w:type="spellEnd"/>
      <w:r>
        <w:t xml:space="preserve"> (</w:t>
      </w:r>
      <w:r>
        <w:rPr>
          <w:i/>
          <w:iCs/>
        </w:rPr>
        <w:t xml:space="preserve">BMC Medical </w:t>
      </w:r>
      <w:proofErr w:type="spellStart"/>
      <w:r>
        <w:rPr>
          <w:i/>
          <w:iCs/>
        </w:rPr>
        <w:t>Informatics</w:t>
      </w:r>
      <w:proofErr w:type="spellEnd"/>
      <w:r>
        <w:rPr>
          <w:i/>
          <w:iCs/>
        </w:rPr>
        <w:t xml:space="preserve"> and </w:t>
      </w:r>
      <w:proofErr w:type="spellStart"/>
      <w:r>
        <w:rPr>
          <w:i/>
          <w:iCs/>
        </w:rPr>
        <w:t>Decision</w:t>
      </w:r>
      <w:proofErr w:type="spellEnd"/>
      <w:r>
        <w:rPr>
          <w:i/>
          <w:iCs/>
        </w:rPr>
        <w:t xml:space="preserve"> </w:t>
      </w:r>
      <w:proofErr w:type="spellStart"/>
      <w:r>
        <w:rPr>
          <w:i/>
          <w:iCs/>
        </w:rPr>
        <w:t>Making</w:t>
      </w:r>
      <w:proofErr w:type="spellEnd"/>
      <w:r>
        <w:t xml:space="preserve">). </w:t>
      </w:r>
      <w:r>
        <w:rPr>
          <w:b/>
          <w:bCs/>
        </w:rPr>
        <w:t>Instrumentos de evaluación:</w:t>
      </w:r>
      <w:r>
        <w:t xml:space="preserve"> Cribado de 302 artículos con selección final de n = 36 estudios; síntesis temática de requisitos técnicos y semánticos categorizados por estándar, protocolo y tecnología. </w:t>
      </w:r>
      <w:r>
        <w:rPr>
          <w:b/>
          <w:bCs/>
        </w:rPr>
        <w:t>Métricas o indicadores de desempeño:</w:t>
      </w:r>
      <w:r>
        <w:t xml:space="preserve"> Frecuencia de aparición de estándares y tecnologías como requisitos de interoperabilidad en los artículos seleccionados. </w:t>
      </w:r>
      <w:r>
        <w:rPr>
          <w:b/>
          <w:bCs/>
        </w:rPr>
        <w:t>Resultados:</w:t>
      </w:r>
      <w:r>
        <w:t xml:space="preserve"> n = 36 estudios; HL7 FHIR, CDA, HIPAA, SNOMED-CT, SOA, RIM, XML, API, JAVA y SQL aparecen como requisitos más frecuentes. FHIR y CDA se posicionan como estándares prioritarios para interoperabilidad estructural y semántica. </w:t>
      </w:r>
      <w:r>
        <w:rPr>
          <w:b/>
          <w:bCs/>
        </w:rPr>
        <w:t>Limitaciones:</w:t>
      </w:r>
      <w:r>
        <w:t xml:space="preserve"> La revisión no evalúa resultados clínicos de las implementaciones; se centra en requisitos técnicos declarados sin medir efectividad operativa. </w:t>
      </w:r>
      <w:r>
        <w:rPr>
          <w:b/>
          <w:bCs/>
        </w:rPr>
        <w:t>Crítica o aporte a la tesis:</w:t>
      </w:r>
      <w:r>
        <w:t xml:space="preserve"> Confirma la pertinencia de HL7 FHIR y SNOMED-CT como estándares base para la capa de integración propuesta y valida la necesidad de combinar interoperabilidad técnica con semántica.</w:t>
      </w:r>
    </w:p>
    <w:p w14:paraId="20EC064D" w14:textId="77777777" w:rsidR="00962712" w:rsidRDefault="00BF4269">
      <w:r>
        <w:rPr>
          <w:b/>
          <w:bCs/>
        </w:rPr>
        <w:t>HOLMGREN ET AL. (2023)</w:t>
      </w:r>
      <w:r>
        <w:t xml:space="preserve"> </w:t>
      </w:r>
      <w:r>
        <w:rPr>
          <w:b/>
          <w:bCs/>
        </w:rPr>
        <w:t>Aporte:</w:t>
      </w:r>
      <w:r>
        <w:t xml:space="preserve"> Comparan políticas de intercambio de información de salud en cinco países para extraer factores de éxito en HIE, aportando un marco comparativo de gobernanza. </w:t>
      </w:r>
      <w:r>
        <w:rPr>
          <w:b/>
          <w:bCs/>
        </w:rPr>
        <w:t>Problema:</w:t>
      </w:r>
      <w:r>
        <w:t xml:space="preserve"> Variabilidad </w:t>
      </w:r>
      <w:r>
        <w:lastRenderedPageBreak/>
        <w:t xml:space="preserve">regulatoria y organizacional entre países que limita el escalamiento homogéneo del intercambio clínico. </w:t>
      </w:r>
      <w:r>
        <w:rPr>
          <w:b/>
          <w:bCs/>
        </w:rPr>
        <w:t>Objetivo:</w:t>
      </w:r>
      <w:r>
        <w:t xml:space="preserve"> Entender cómo el diseño de política pública condiciona la adopción de interoperabilidad a escala nacional. </w:t>
      </w:r>
      <w:r>
        <w:rPr>
          <w:b/>
          <w:bCs/>
        </w:rPr>
        <w:t>Metodología:</w:t>
      </w:r>
      <w:r>
        <w:t xml:space="preserve"> Revisión narrativa comparada de marcos de política sanitaria en Estados Unidos, Reino Unido, Alemania, Israel y Portugal, con búsqueda en MEDLINE/PubMed y Google Scholar (</w:t>
      </w:r>
      <w:r>
        <w:rPr>
          <w:i/>
          <w:iCs/>
        </w:rPr>
        <w:t xml:space="preserve">IMIA </w:t>
      </w:r>
      <w:proofErr w:type="spellStart"/>
      <w:r>
        <w:rPr>
          <w:i/>
          <w:iCs/>
        </w:rPr>
        <w:t>Yearbook</w:t>
      </w:r>
      <w:proofErr w:type="spellEnd"/>
      <w:r>
        <w:rPr>
          <w:i/>
          <w:iCs/>
        </w:rPr>
        <w:t xml:space="preserve"> </w:t>
      </w:r>
      <w:proofErr w:type="spellStart"/>
      <w:r>
        <w:rPr>
          <w:i/>
          <w:iCs/>
        </w:rPr>
        <w:t>of</w:t>
      </w:r>
      <w:proofErr w:type="spellEnd"/>
      <w:r>
        <w:rPr>
          <w:i/>
          <w:iCs/>
        </w:rPr>
        <w:t xml:space="preserve"> Medical </w:t>
      </w:r>
      <w:proofErr w:type="spellStart"/>
      <w:r>
        <w:rPr>
          <w:i/>
          <w:iCs/>
        </w:rPr>
        <w:t>Informatics</w:t>
      </w:r>
      <w:proofErr w:type="spellEnd"/>
      <w:r>
        <w:t xml:space="preserve">). </w:t>
      </w:r>
      <w:r>
        <w:rPr>
          <w:b/>
          <w:bCs/>
        </w:rPr>
        <w:t>Instrumentos de evaluación:</w:t>
      </w:r>
      <w:r>
        <w:t xml:space="preserve"> Análisis transversal de diseño institucional, adopción de EHR, nivel de centralización, madurez de intercambio e incentivación, clasificando cada dimensión como baja, moderada o alta. </w:t>
      </w:r>
      <w:r>
        <w:rPr>
          <w:b/>
          <w:bCs/>
        </w:rPr>
        <w:t>Métricas o indicadores de desempeño:</w:t>
      </w:r>
      <w:r>
        <w:t xml:space="preserve"> Grado de adopción de EHR, nivel de centralización de la política HIE, madurez del intercambio y estrategia de incentivación gubernamental. </w:t>
      </w:r>
      <w:r>
        <w:rPr>
          <w:b/>
          <w:bCs/>
        </w:rPr>
        <w:t>Resultados:</w:t>
      </w:r>
      <w:r>
        <w:t xml:space="preserve"> n = 5 países analizados; la priorización gubernamental centralizada (Israel, Reino Unido) se asocia con mayor avance interoperable. La fragmentación institucional (EE. UU.) genera heterogeneidad en adopción pese a altas tasas de uso de EHR. </w:t>
      </w:r>
      <w:r>
        <w:rPr>
          <w:b/>
          <w:bCs/>
        </w:rPr>
        <w:t>Limitaciones:</w:t>
      </w:r>
      <w:r>
        <w:t xml:space="preserve"> Revisión narrativa sin metaanálisis; la selección de cinco países puede no representar la diversidad de contextos de países en desarrollo. </w:t>
      </w:r>
      <w:r>
        <w:rPr>
          <w:b/>
          <w:bCs/>
        </w:rPr>
        <w:t>Crítica o aporte a la tesis:</w:t>
      </w:r>
      <w:r>
        <w:t xml:space="preserve"> La importancia de la priorización gubernamental respalda la relevancia del marco normativo peruano (RNIEDS, PIDESALUD) y refuerza que las brechas identificadas en esta tesis tienen componente institucional además de técnico.</w:t>
      </w:r>
    </w:p>
    <w:p w14:paraId="19BA6B87" w14:textId="77777777" w:rsidR="00962712" w:rsidRDefault="00BF4269">
      <w:r>
        <w:rPr>
          <w:b/>
          <w:bCs/>
        </w:rPr>
        <w:t>RICHWINE ET AL. (2025)</w:t>
      </w:r>
      <w:r>
        <w:t xml:space="preserve"> </w:t>
      </w:r>
      <w:r>
        <w:rPr>
          <w:b/>
          <w:bCs/>
        </w:rPr>
        <w:t>Aporte:</w:t>
      </w:r>
      <w:r>
        <w:t xml:space="preserve"> Cuantifican el valor de las organizaciones de intercambio de información sanitaria (HIO) para la interoperabilidad hospitalaria a escala nacional en Estados Unidos. </w:t>
      </w:r>
      <w:r>
        <w:rPr>
          <w:b/>
          <w:bCs/>
        </w:rPr>
        <w:t>Problema:</w:t>
      </w:r>
      <w:r>
        <w:t xml:space="preserve"> Dificultad para demostrar el impacto operativo de la gobernanza del intercambio interinstitucional de datos clínicos. </w:t>
      </w:r>
      <w:r>
        <w:rPr>
          <w:b/>
          <w:bCs/>
        </w:rPr>
        <w:t>Objetivo:</w:t>
      </w:r>
      <w:r>
        <w:t xml:space="preserve"> Estimar la contribución de las HIO en intercambio clínico, reporte de salud pública e intercambio de datos sobre necesidades sociales en hospitales. </w:t>
      </w:r>
      <w:r>
        <w:rPr>
          <w:b/>
          <w:bCs/>
        </w:rPr>
        <w:t>Metodología:</w:t>
      </w:r>
      <w:r>
        <w:t xml:space="preserve"> Estudio observacional con análisis comparativo de hospitales participantes y no participantes en HIOs, mediante vinculación de bases de datos nacionales (</w:t>
      </w:r>
      <w:r>
        <w:rPr>
          <w:i/>
          <w:iCs/>
        </w:rPr>
        <w:t xml:space="preserve">Health </w:t>
      </w:r>
      <w:proofErr w:type="spellStart"/>
      <w:r>
        <w:rPr>
          <w:i/>
          <w:iCs/>
        </w:rPr>
        <w:t>Affairs</w:t>
      </w:r>
      <w:proofErr w:type="spellEnd"/>
      <w:r>
        <w:rPr>
          <w:i/>
          <w:iCs/>
        </w:rPr>
        <w:t xml:space="preserve"> Scholar</w:t>
      </w:r>
      <w:r>
        <w:t xml:space="preserve">). </w:t>
      </w:r>
      <w:r>
        <w:rPr>
          <w:b/>
          <w:bCs/>
        </w:rPr>
        <w:t>Instrumentos de evaluación:</w:t>
      </w:r>
      <w:r>
        <w:t xml:space="preserve"> </w:t>
      </w:r>
      <w:proofErr w:type="spellStart"/>
      <w:r>
        <w:t>Dataset</w:t>
      </w:r>
      <w:proofErr w:type="spellEnd"/>
      <w:r>
        <w:t xml:space="preserve"> vinculado del AHA IT </w:t>
      </w:r>
      <w:proofErr w:type="spellStart"/>
      <w:r>
        <w:t>Supplement</w:t>
      </w:r>
      <w:proofErr w:type="spellEnd"/>
      <w:r>
        <w:t xml:space="preserve"> 2023 (tasa de respuesta 58 %, N = 2 200 hospitales no federales de cuidados agudos) y HIO </w:t>
      </w:r>
      <w:proofErr w:type="spellStart"/>
      <w:r>
        <w:t>Survey</w:t>
      </w:r>
      <w:proofErr w:type="spellEnd"/>
      <w:r>
        <w:t xml:space="preserve"> 2023 (tasa de respuesta 86 %, N = 77 HIOs en 47 estados). Variables: intercambio clínico electrónico, reporte de salud pública, intercambio de datos HRSN y participación </w:t>
      </w:r>
      <w:r>
        <w:lastRenderedPageBreak/>
        <w:t xml:space="preserve">en TEFCA. </w:t>
      </w:r>
      <w:r>
        <w:rPr>
          <w:b/>
          <w:bCs/>
        </w:rPr>
        <w:t>Métricas o indicadores de desempeño:</w:t>
      </w:r>
      <w:r>
        <w:t xml:space="preserve"> Tasas de intercambio de información clínica, reporte de salud pública, intercambio de datos sobre necesidades sociales y participación en TEFCA. </w:t>
      </w:r>
      <w:r>
        <w:rPr>
          <w:b/>
          <w:bCs/>
        </w:rPr>
        <w:t>Resultados:</w:t>
      </w:r>
      <w:r>
        <w:t xml:space="preserve"> La participación en una HIO se asocia significativamente con mayor intercambio clínico electrónico, mayor reporte de salud pública y mayor intercambio de datos sobre necesidades sociales. </w:t>
      </w:r>
      <w:r>
        <w:rPr>
          <w:b/>
          <w:bCs/>
        </w:rPr>
        <w:t>Limitaciones:</w:t>
      </w:r>
      <w:r>
        <w:t xml:space="preserve"> Estudio observacional que no permite inferir causalidad; datos de </w:t>
      </w:r>
      <w:proofErr w:type="spellStart"/>
      <w:r>
        <w:t>autoreporte</w:t>
      </w:r>
      <w:proofErr w:type="spellEnd"/>
      <w:r>
        <w:t xml:space="preserve"> hospitalario, lo que puede introducir sesgo. </w:t>
      </w:r>
      <w:r>
        <w:rPr>
          <w:b/>
          <w:bCs/>
        </w:rPr>
        <w:t>Crítica o aporte a la tesis:</w:t>
      </w:r>
      <w:r>
        <w:t xml:space="preserve"> El enfoque cuantitativo de vinculación de bases de datos y medición de indicadores de intercambio proveen un modelo metodológico para la evaluación pre/post de esta tesis. La evidencia sobre gobernanza institucional refuerza la importancia de RNIEDS y PIDESALUD.</w:t>
      </w:r>
    </w:p>
    <w:p w14:paraId="1FBBCC52" w14:textId="77777777" w:rsidR="00962712" w:rsidRDefault="00BF4269">
      <w:r>
        <w:rPr>
          <w:b/>
          <w:bCs/>
        </w:rPr>
        <w:t>RAAB ET AL. (2023)</w:t>
      </w:r>
      <w:r>
        <w:t xml:space="preserve"> </w:t>
      </w:r>
      <w:r>
        <w:rPr>
          <w:b/>
          <w:bCs/>
        </w:rPr>
        <w:t>Aporte:</w:t>
      </w:r>
      <w:r>
        <w:t xml:space="preserve"> Proponen un enfoque federado de espacios de datos de salud personal para el </w:t>
      </w:r>
      <w:proofErr w:type="spellStart"/>
      <w:r>
        <w:t>European</w:t>
      </w:r>
      <w:proofErr w:type="spellEnd"/>
      <w:r>
        <w:t xml:space="preserve"> Health Data Space (EHDS), poniendo el control del dato en el ciudadano. </w:t>
      </w:r>
      <w:r>
        <w:rPr>
          <w:b/>
          <w:bCs/>
        </w:rPr>
        <w:t>Problema:</w:t>
      </w:r>
      <w:r>
        <w:t xml:space="preserve"> Riesgos de concentración de datos sensibles en silos centralizados y baja portabilidad efectiva de registros clínicos entre sistemas heterogéneos en Europa. </w:t>
      </w:r>
      <w:r>
        <w:rPr>
          <w:b/>
          <w:bCs/>
        </w:rPr>
        <w:t>Objetivo:</w:t>
      </w:r>
      <w:r>
        <w:t xml:space="preserve"> Diseñar una arquitectura interoperable que reduzca la dependencia de repositorios centralizados, almacenando datos en dispositivos personales. </w:t>
      </w:r>
      <w:r>
        <w:rPr>
          <w:b/>
          <w:bCs/>
        </w:rPr>
        <w:t>Metodología:</w:t>
      </w:r>
      <w:r>
        <w:t xml:space="preserve"> Desarrollo conceptual y técnico de arquitectura para espacios de datos de salud federados, con enfoque </w:t>
      </w:r>
      <w:proofErr w:type="spellStart"/>
      <w:r>
        <w:t>privacy-by-design</w:t>
      </w:r>
      <w:proofErr w:type="spellEnd"/>
      <w:r>
        <w:t xml:space="preserve"> (</w:t>
      </w:r>
      <w:r>
        <w:rPr>
          <w:i/>
          <w:iCs/>
        </w:rPr>
        <w:t>The Lancet Digital Health</w:t>
      </w:r>
      <w:r>
        <w:t xml:space="preserve">). </w:t>
      </w:r>
      <w:r>
        <w:rPr>
          <w:b/>
          <w:bCs/>
        </w:rPr>
        <w:t>Instrumentos de evaluación:</w:t>
      </w:r>
      <w:r>
        <w:t xml:space="preserve"> Evaluación de factibilidad arquitectónica y análisis de criterios de gobernanza de datos personales, alineados con la regulación europea de protección de datos. </w:t>
      </w:r>
      <w:r>
        <w:rPr>
          <w:b/>
          <w:bCs/>
        </w:rPr>
        <w:t>Métricas o indicadores de desempeño:</w:t>
      </w:r>
      <w:r>
        <w:t xml:space="preserve"> Criterios cualitativos de control de acceso, portabilidad del dato y gobernanza descentralizada. </w:t>
      </w:r>
      <w:r>
        <w:rPr>
          <w:b/>
          <w:bCs/>
        </w:rPr>
        <w:t>Resultados:</w:t>
      </w:r>
      <w:r>
        <w:t xml:space="preserve"> Definen lineamientos para interoperabilidad federada con mejor control de acceso ciudadano y mecanismos de compartición basados en consentimiento explícito. </w:t>
      </w:r>
      <w:r>
        <w:rPr>
          <w:b/>
          <w:bCs/>
        </w:rPr>
        <w:t>Limitaciones:</w:t>
      </w:r>
      <w:r>
        <w:t xml:space="preserve"> Propuesta conceptual sin implementación técnica ni evaluación empírica; la viabilidad operativa a escala continental queda pendiente. </w:t>
      </w:r>
      <w:r>
        <w:rPr>
          <w:b/>
          <w:bCs/>
        </w:rPr>
        <w:t>Crítica o aporte a la tesis:</w:t>
      </w:r>
      <w:r>
        <w:t xml:space="preserve"> El principio de privacidad por diseño y la descentralización del dato son relevantes para el contexto peruano, donde la protección de datos de poblaciones vulnerables del MINSA requiere mecanismos robustos de consentimiento.</w:t>
      </w:r>
    </w:p>
    <w:p w14:paraId="029A3B10" w14:textId="77777777" w:rsidR="00962712" w:rsidRDefault="00BF4269">
      <w:r>
        <w:rPr>
          <w:b/>
          <w:bCs/>
        </w:rPr>
        <w:lastRenderedPageBreak/>
        <w:t>MONSEN ET AL. (2023)</w:t>
      </w:r>
      <w:r>
        <w:t xml:space="preserve"> </w:t>
      </w:r>
      <w:r>
        <w:rPr>
          <w:b/>
          <w:bCs/>
        </w:rPr>
        <w:t>Aporte:</w:t>
      </w:r>
      <w:r>
        <w:t xml:space="preserve"> Integran terminologías estandarizadas de enfermería con recursos FHIR para aumentar la reutilización del dato clínico en contextos analíticos y asistenciales. </w:t>
      </w:r>
      <w:r>
        <w:rPr>
          <w:b/>
          <w:bCs/>
        </w:rPr>
        <w:t>Problema:</w:t>
      </w:r>
      <w:r>
        <w:t xml:space="preserve"> Subutilización de datos clínicos por baja normalización terminológica en implementaciones FHIR, particularmente en datos de enfermería. </w:t>
      </w:r>
      <w:r>
        <w:rPr>
          <w:b/>
          <w:bCs/>
        </w:rPr>
        <w:t>Objetivo:</w:t>
      </w:r>
      <w:r>
        <w:t xml:space="preserve"> Mejorar la interoperabilidad semántica de flujos clínicos y analíticos mediante integración de vocabularios estandarizados de enfermería en FHIR. </w:t>
      </w:r>
      <w:r>
        <w:rPr>
          <w:b/>
          <w:bCs/>
        </w:rPr>
        <w:t>Metodología:</w:t>
      </w:r>
      <w:r>
        <w:t xml:space="preserve"> Estudio aplicado de integración terminológica en recursos FHIR, con mapeo de vocabularios de enfermería a recursos estándar. </w:t>
      </w:r>
      <w:r>
        <w:rPr>
          <w:b/>
          <w:bCs/>
        </w:rPr>
        <w:t>Instrumentos de evaluación:</w:t>
      </w:r>
      <w:r>
        <w:t xml:space="preserve"> Verificación de consistencia semántica de los recursos generados y pruebas de reutilización para analítica clínica secundaria. </w:t>
      </w:r>
      <w:r>
        <w:rPr>
          <w:b/>
          <w:bCs/>
        </w:rPr>
        <w:t>Métricas o indicadores de desempeño:</w:t>
      </w:r>
      <w:r>
        <w:t xml:space="preserve"> Grado de consistencia semántica y proporción de datos reutilizables en flujos analíticos. </w:t>
      </w:r>
      <w:r>
        <w:rPr>
          <w:b/>
          <w:bCs/>
        </w:rPr>
        <w:t>Resultados:</w:t>
      </w:r>
      <w:r>
        <w:t xml:space="preserve"> Demuestran mejora en representación estandarizada de datos de enfermería y viabilidad del uso secundario de información clínica codificada en FHIR. </w:t>
      </w:r>
      <w:r>
        <w:rPr>
          <w:b/>
          <w:bCs/>
        </w:rPr>
        <w:t>Limitaciones:</w:t>
      </w:r>
      <w:r>
        <w:t xml:space="preserve"> Alcance centrado en terminologías de enfermería; la generalización a otros dominios clínicos requiere validación adicional. </w:t>
      </w:r>
      <w:r>
        <w:rPr>
          <w:b/>
          <w:bCs/>
        </w:rPr>
        <w:t>Crítica o aporte a la tesis:</w:t>
      </w:r>
      <w:r>
        <w:t xml:space="preserve"> Refuerza la importancia de la normalización terminológica para la </w:t>
      </w:r>
      <w:r>
        <w:rPr>
          <w:i/>
          <w:iCs/>
        </w:rPr>
        <w:t>codificación</w:t>
      </w:r>
      <w:r>
        <w:t xml:space="preserve"> como dimensión de calidad, y valida que la integración de vocabularios estandarizados mejora la reutilización del dato clínico.</w:t>
      </w:r>
    </w:p>
    <w:p w14:paraId="71D87D0C" w14:textId="77777777" w:rsidR="00962712" w:rsidRDefault="00BF4269">
      <w:r>
        <w:rPr>
          <w:b/>
          <w:bCs/>
        </w:rPr>
        <w:t>VORISEK ET AL. (2022)</w:t>
      </w:r>
      <w:r>
        <w:t xml:space="preserve"> </w:t>
      </w:r>
      <w:r>
        <w:rPr>
          <w:b/>
          <w:bCs/>
        </w:rPr>
        <w:t>Aporte:</w:t>
      </w:r>
      <w:r>
        <w:t xml:space="preserve"> Ofrecen un panorama cuantitativo robusto de los usos de FHIR en investigación en salud, incluyendo la distribución de terminologías complementarias. </w:t>
      </w:r>
      <w:r>
        <w:rPr>
          <w:b/>
          <w:bCs/>
        </w:rPr>
        <w:t>Problema:</w:t>
      </w:r>
      <w:r>
        <w:t xml:space="preserve"> Escasa consolidación cuantitativa sobre para qué y cómo se utiliza FHIR en investigación clínica aplicada. </w:t>
      </w:r>
      <w:r>
        <w:rPr>
          <w:b/>
          <w:bCs/>
        </w:rPr>
        <w:t>Objetivo:</w:t>
      </w:r>
      <w:r>
        <w:t xml:space="preserve"> Medir las áreas de aplicación, las terminologías complementarias y la madurez de adopción científica de FHIR. </w:t>
      </w:r>
      <w:r>
        <w:rPr>
          <w:b/>
          <w:bCs/>
        </w:rPr>
        <w:t>Metodología:</w:t>
      </w:r>
      <w:r>
        <w:t xml:space="preserve"> Revisión sistemática de literatura 2011–2022, con búsqueda en cinco bases: PubMed, </w:t>
      </w:r>
      <w:proofErr w:type="spellStart"/>
      <w:r>
        <w:t>Embase</w:t>
      </w:r>
      <w:proofErr w:type="spellEnd"/>
      <w:r>
        <w:t xml:space="preserve">, Web </w:t>
      </w:r>
      <w:proofErr w:type="spellStart"/>
      <w:r>
        <w:t>of</w:t>
      </w:r>
      <w:proofErr w:type="spellEnd"/>
      <w:r>
        <w:t xml:space="preserve"> </w:t>
      </w:r>
      <w:proofErr w:type="spellStart"/>
      <w:r>
        <w:t>Science</w:t>
      </w:r>
      <w:proofErr w:type="spellEnd"/>
      <w:r>
        <w:t xml:space="preserve">, IEEE </w:t>
      </w:r>
      <w:proofErr w:type="spellStart"/>
      <w:r>
        <w:t>Xplore</w:t>
      </w:r>
      <w:proofErr w:type="spellEnd"/>
      <w:r>
        <w:t xml:space="preserve"> y Cochrane Library (</w:t>
      </w:r>
      <w:r>
        <w:rPr>
          <w:i/>
          <w:iCs/>
        </w:rPr>
        <w:t xml:space="preserve">JMIR Medical </w:t>
      </w:r>
      <w:proofErr w:type="spellStart"/>
      <w:r>
        <w:rPr>
          <w:i/>
          <w:iCs/>
        </w:rPr>
        <w:t>Informatics</w:t>
      </w:r>
      <w:proofErr w:type="spellEnd"/>
      <w:r>
        <w:t xml:space="preserve">). </w:t>
      </w:r>
      <w:r>
        <w:rPr>
          <w:b/>
          <w:bCs/>
        </w:rPr>
        <w:t>Instrumentos de evaluación:</w:t>
      </w:r>
      <w:r>
        <w:t xml:space="preserve"> Extracción estructurada de variables de uso, dominio clínico y terminologías asociadas; de 998 artículos cribados se incluyeron n = 49 estudios. </w:t>
      </w:r>
      <w:r>
        <w:rPr>
          <w:b/>
          <w:bCs/>
        </w:rPr>
        <w:t>Métricas o indicadores de desempeño:</w:t>
      </w:r>
      <w:r>
        <w:t xml:space="preserve"> Distribución de usos por función y dominio, frecuencia de terminologías complementarias y tendencia temporal de publicaciones. </w:t>
      </w:r>
      <w:r>
        <w:rPr>
          <w:b/>
          <w:bCs/>
        </w:rPr>
        <w:t>Resultados:</w:t>
      </w:r>
      <w:r>
        <w:t xml:space="preserve"> n = 49 estudios; 73 % en investigación clínica. Usos principales: estandarización (41 %), captura de datos (29 %), reclutamiento (14 %), </w:t>
      </w:r>
      <w:r>
        <w:lastRenderedPageBreak/>
        <w:t xml:space="preserve">análisis (12 %) y consentimiento (4 %). Terminologías más usadas: LOINC (37 %), SNOMED-CT (29 %), ICD-10 (18 %) y OMOP (12 %). Alemania y EE. UU. lideran publicaciones. </w:t>
      </w:r>
      <w:r>
        <w:rPr>
          <w:b/>
          <w:bCs/>
        </w:rPr>
        <w:t>Limitaciones:</w:t>
      </w:r>
      <w:r>
        <w:t xml:space="preserve"> Intervalo de cinco años entre publicación del estándar FHIR y primera publicación científica relevante; investigación en países de mediano/bajo ingreso subrepresentada. </w:t>
      </w:r>
      <w:r>
        <w:rPr>
          <w:b/>
          <w:bCs/>
        </w:rPr>
        <w:t>Crítica o aporte a la tesis:</w:t>
      </w:r>
      <w:r>
        <w:t xml:space="preserve"> La distribución de terminologías (LOINC 37 %, SNOMED-CT 29 %, ICD-10 18 %) proporciona un referente directo para evaluar </w:t>
      </w:r>
      <w:r>
        <w:rPr>
          <w:i/>
          <w:iCs/>
        </w:rPr>
        <w:t>codificación</w:t>
      </w:r>
      <w:r>
        <w:t xml:space="preserve"> en los centros MINSA, donde CIE-10 y CPMS son los estándares obligatorios.</w:t>
      </w:r>
    </w:p>
    <w:p w14:paraId="194223F5" w14:textId="77777777" w:rsidR="00962712" w:rsidRDefault="00BF4269">
      <w:r>
        <w:rPr>
          <w:b/>
          <w:bCs/>
        </w:rPr>
        <w:t>GAZZARATA ET AL. (2024)</w:t>
      </w:r>
      <w:r>
        <w:t xml:space="preserve"> </w:t>
      </w:r>
      <w:r>
        <w:rPr>
          <w:b/>
          <w:bCs/>
        </w:rPr>
        <w:t>Aporte:</w:t>
      </w:r>
      <w:r>
        <w:t xml:space="preserve"> Vinculan FHIR con la continuidad asistencial en ecosistemas de enfermedades crónicas, evaluando su rol en la coordinación entre niveles de atención. </w:t>
      </w:r>
      <w:r>
        <w:rPr>
          <w:b/>
          <w:bCs/>
        </w:rPr>
        <w:t>Problema:</w:t>
      </w:r>
      <w:r>
        <w:t xml:space="preserve"> Discontinuidad clínica por fragmentación de información en trayectorias de atención crónica entre diferentes niveles y proveedores. </w:t>
      </w:r>
      <w:r>
        <w:rPr>
          <w:b/>
          <w:bCs/>
        </w:rPr>
        <w:t>Objetivo:</w:t>
      </w:r>
      <w:r>
        <w:t xml:space="preserve"> Evaluar el rol de FHIR en la integración longitudinal de datos clínicos y la coordinación interinstitucional en atención de enfermedades crónicas. </w:t>
      </w:r>
      <w:r>
        <w:rPr>
          <w:b/>
          <w:bCs/>
        </w:rPr>
        <w:t>Metodología:</w:t>
      </w:r>
      <w:r>
        <w:t xml:space="preserve"> Scoping </w:t>
      </w:r>
      <w:proofErr w:type="spellStart"/>
      <w:r>
        <w:t>review</w:t>
      </w:r>
      <w:proofErr w:type="spellEnd"/>
      <w:r>
        <w:t xml:space="preserve"> centrada en aplicaciones FHIR para gestión clínica crónica, con síntesis por dominios de uso. </w:t>
      </w:r>
      <w:r>
        <w:rPr>
          <w:b/>
          <w:bCs/>
        </w:rPr>
        <w:t>Instrumentos de evaluación:</w:t>
      </w:r>
      <w:r>
        <w:t xml:space="preserve"> Síntesis estructurada por dominios de uso clínico, capacidades técnicas de FHIR y modelos de gobernanza aplicados. </w:t>
      </w:r>
      <w:r>
        <w:rPr>
          <w:b/>
          <w:bCs/>
        </w:rPr>
        <w:t>Métricas o indicadores de desempeño:</w:t>
      </w:r>
      <w:r>
        <w:t xml:space="preserve"> Grado de articulación de red, cobertura de continuidad asistencial y capacidades técnicas reportadas. </w:t>
      </w:r>
      <w:r>
        <w:rPr>
          <w:b/>
          <w:bCs/>
        </w:rPr>
        <w:t>Resultados:</w:t>
      </w:r>
      <w:r>
        <w:t xml:space="preserve"> Evidencian mejora de continuidad asistencial y articulación de red mediante FHIR; no se identifica un KPI universal único, lo que sugiere necesidad de métricas contextualizadas. </w:t>
      </w:r>
      <w:r>
        <w:rPr>
          <w:b/>
          <w:bCs/>
        </w:rPr>
        <w:t>Limitaciones:</w:t>
      </w:r>
      <w:r>
        <w:t xml:space="preserve"> Ausencia de indicadores cuantitativos estandarizados; resultados predominantemente cualitativos. </w:t>
      </w:r>
      <w:r>
        <w:rPr>
          <w:b/>
          <w:bCs/>
        </w:rPr>
        <w:t>Crítica o aporte a la tesis:</w:t>
      </w:r>
      <w:r>
        <w:t xml:space="preserve"> La vinculación entre FHIR y continuidad asistencial refuerza la relevancia de la dimensión de </w:t>
      </w:r>
      <w:r>
        <w:rPr>
          <w:i/>
          <w:iCs/>
        </w:rPr>
        <w:t>continuidad y trazabilidad</w:t>
      </w:r>
      <w:r>
        <w:t xml:space="preserve"> como variable dependiente de esta tesis y evidencia la necesidad de métricas operativas contextualizadas.</w:t>
      </w:r>
    </w:p>
    <w:p w14:paraId="196A3C75" w14:textId="77777777" w:rsidR="00962712" w:rsidRDefault="00BF4269">
      <w:r>
        <w:rPr>
          <w:b/>
          <w:bCs/>
        </w:rPr>
        <w:t>PEDRERA-JIMÉNEZ ET AL. (2023)</w:t>
      </w:r>
      <w:r>
        <w:t xml:space="preserve"> </w:t>
      </w:r>
      <w:r>
        <w:rPr>
          <w:b/>
          <w:bCs/>
        </w:rPr>
        <w:t>Aporte:</w:t>
      </w:r>
      <w:r>
        <w:t xml:space="preserve"> Proponen enfoque agnóstico de estándares donde </w:t>
      </w:r>
      <w:proofErr w:type="spellStart"/>
      <w:r>
        <w:t>openEHR</w:t>
      </w:r>
      <w:proofErr w:type="spellEnd"/>
      <w:r>
        <w:t xml:space="preserve">, ISO 13606 y FHIR se combinan como componentes complementarios en espacios de datos clínicos de nueva generación. </w:t>
      </w:r>
      <w:r>
        <w:rPr>
          <w:b/>
          <w:bCs/>
        </w:rPr>
        <w:t>Problema:</w:t>
      </w:r>
      <w:r>
        <w:t xml:space="preserve"> Decisiones de arquitectura basadas en una falsa dicotomía entre estándares clínicos que en realidad son complementarios. </w:t>
      </w:r>
      <w:r>
        <w:rPr>
          <w:b/>
          <w:bCs/>
        </w:rPr>
        <w:t>Objetivo:</w:t>
      </w:r>
      <w:r>
        <w:t xml:space="preserve"> Definir criterios de </w:t>
      </w:r>
      <w:r>
        <w:lastRenderedPageBreak/>
        <w:t xml:space="preserve">selección y coexistencia de estándares en espacios de datos de nueva generación. </w:t>
      </w:r>
      <w:r>
        <w:rPr>
          <w:b/>
          <w:bCs/>
        </w:rPr>
        <w:t>Metodología:</w:t>
      </w:r>
      <w:r>
        <w:t xml:space="preserve"> Análisis técnico-conceptual comparativo de las capacidades y capas funcionales de </w:t>
      </w:r>
      <w:proofErr w:type="spellStart"/>
      <w:r>
        <w:t>openEHR</w:t>
      </w:r>
      <w:proofErr w:type="spellEnd"/>
      <w:r>
        <w:t xml:space="preserve">, ISO 13606 y FHIR. </w:t>
      </w:r>
      <w:r>
        <w:rPr>
          <w:b/>
          <w:bCs/>
        </w:rPr>
        <w:t>Instrumentos de evaluación:</w:t>
      </w:r>
      <w:r>
        <w:t xml:space="preserve"> Matriz de compatibilidad funcional evaluando capacidades de modelado clínico, intercambio de datos y reutilización para cada estándar. </w:t>
      </w:r>
      <w:r>
        <w:rPr>
          <w:b/>
          <w:bCs/>
        </w:rPr>
        <w:t>Métricas o indicadores de desempeño:</w:t>
      </w:r>
      <w:r>
        <w:t xml:space="preserve"> Cobertura funcional de cada estándar por capa (modelado, almacenamiento, intercambio, reutilización). </w:t>
      </w:r>
      <w:r>
        <w:rPr>
          <w:b/>
          <w:bCs/>
        </w:rPr>
        <w:t>Resultados:</w:t>
      </w:r>
      <w:r>
        <w:t xml:space="preserve"> Recomiendan arquitectura por capas: </w:t>
      </w:r>
      <w:proofErr w:type="spellStart"/>
      <w:r>
        <w:t>openEHR</w:t>
      </w:r>
      <w:proofErr w:type="spellEnd"/>
      <w:r>
        <w:t xml:space="preserve"> para modelado y persistencia clínica, FHIR para intercambio y </w:t>
      </w:r>
      <w:proofErr w:type="spellStart"/>
      <w:r>
        <w:t>APIs</w:t>
      </w:r>
      <w:proofErr w:type="spellEnd"/>
      <w:r>
        <w:t xml:space="preserve">, e ISO 13606 como puente. Cada estándar aporta valor diferencial y complementario. </w:t>
      </w:r>
      <w:r>
        <w:rPr>
          <w:b/>
          <w:bCs/>
        </w:rPr>
        <w:t>Limitaciones:</w:t>
      </w:r>
      <w:r>
        <w:t xml:space="preserve"> Análisis conceptual sin implementación práctica; la factibilidad de coexistencia depende de la capacidad técnica institucional. </w:t>
      </w:r>
      <w:r>
        <w:rPr>
          <w:b/>
          <w:bCs/>
        </w:rPr>
        <w:t>Crítica o aporte a la tesis:</w:t>
      </w:r>
      <w:r>
        <w:t xml:space="preserve"> Respalda la compatibilidad de FHIR con otros estándares usados en precedentes nacionales (Porras Gamarra, 2024, con </w:t>
      </w:r>
      <w:proofErr w:type="spellStart"/>
      <w:r>
        <w:t>openEHR</w:t>
      </w:r>
      <w:proofErr w:type="spellEnd"/>
      <w:r>
        <w:t>) y orienta el diseño de la capa piloto como componente de una arquitectura multicapa.</w:t>
      </w:r>
    </w:p>
    <w:p w14:paraId="1B9E0ECD" w14:textId="77777777" w:rsidR="00962712" w:rsidRDefault="00BF4269">
      <w:r>
        <w:rPr>
          <w:b/>
          <w:bCs/>
        </w:rPr>
        <w:t>CHATTERJEE ET AL. (2022)</w:t>
      </w:r>
      <w:r>
        <w:t xml:space="preserve"> </w:t>
      </w:r>
      <w:r>
        <w:rPr>
          <w:b/>
          <w:bCs/>
        </w:rPr>
        <w:t>Aporte:</w:t>
      </w:r>
      <w:r>
        <w:t xml:space="preserve"> Integran HL7 FHIR con SNOMED-CT para lograr interoperabilidad estructural y semántica simultánea en el intercambio de datos personales de salud. </w:t>
      </w:r>
      <w:r>
        <w:rPr>
          <w:b/>
          <w:bCs/>
        </w:rPr>
        <w:t>Problema:</w:t>
      </w:r>
      <w:r>
        <w:t xml:space="preserve"> Intercambio clínico con pérdida de significado semántico al transferir datos entre sistemas heterogéneos con codificaciones diferentes. </w:t>
      </w:r>
      <w:r>
        <w:rPr>
          <w:b/>
          <w:bCs/>
        </w:rPr>
        <w:t>Objetivo:</w:t>
      </w:r>
      <w:r>
        <w:t xml:space="preserve"> Validar la transferencia bidireccional de datos personales de salud sin pérdida semántica. </w:t>
      </w:r>
      <w:r>
        <w:rPr>
          <w:b/>
          <w:bCs/>
        </w:rPr>
        <w:t>Metodología:</w:t>
      </w:r>
      <w:r>
        <w:t xml:space="preserve"> Prueba de concepto con mapeo semántico FHIR-SNOMED-CT y flujo bidireccional entre componentes de un sistema de registro personal de salud. </w:t>
      </w:r>
      <w:r>
        <w:rPr>
          <w:b/>
          <w:bCs/>
        </w:rPr>
        <w:t>Instrumentos de evaluación:</w:t>
      </w:r>
      <w:r>
        <w:t xml:space="preserve"> Pruebas de consistencia de conceptos codificados, verificación de integridad de datos transmitidos y comprobación de preservación semántica en ida y vuelta. </w:t>
      </w:r>
      <w:r>
        <w:rPr>
          <w:b/>
          <w:bCs/>
        </w:rPr>
        <w:t>Métricas o indicadores de desempeño:</w:t>
      </w:r>
      <w:r>
        <w:t xml:space="preserve"> Tasa de preservación semántica en intercambio bidireccional e integridad de datos transmitidos. </w:t>
      </w:r>
      <w:r>
        <w:rPr>
          <w:b/>
          <w:bCs/>
        </w:rPr>
        <w:t>Resultados:</w:t>
      </w:r>
      <w:r>
        <w:t xml:space="preserve"> Logran intercambio bidireccional sin pérdida de datos y con consistencia semántica verificada entre componentes FHIR y SNOMED-CT. </w:t>
      </w:r>
      <w:r>
        <w:rPr>
          <w:b/>
          <w:bCs/>
        </w:rPr>
        <w:t>Limitaciones:</w:t>
      </w:r>
      <w:r>
        <w:t xml:space="preserve"> Prueba de concepto con alcance acotado; sin métricas de rendimiento a escala ni evaluación con </w:t>
      </w:r>
      <w:proofErr w:type="spellStart"/>
      <w:r>
        <w:t>datasets</w:t>
      </w:r>
      <w:proofErr w:type="spellEnd"/>
      <w:r>
        <w:t xml:space="preserve"> clínicos reales de gran volumen. </w:t>
      </w:r>
      <w:r>
        <w:rPr>
          <w:b/>
          <w:bCs/>
        </w:rPr>
        <w:t>Crítica o aporte a la tesis:</w:t>
      </w:r>
      <w:r>
        <w:t xml:space="preserve"> Demuestra que la combinación FHIR + terminologías estándar es condición necesaria para preservar </w:t>
      </w:r>
      <w:r>
        <w:lastRenderedPageBreak/>
        <w:t xml:space="preserve">la </w:t>
      </w:r>
      <w:r>
        <w:rPr>
          <w:i/>
          <w:iCs/>
        </w:rPr>
        <w:t>consistencia</w:t>
      </w:r>
      <w:r>
        <w:t xml:space="preserve"> del dato clínico, dimensión central de la evaluación pre/post de esta tesis.</w:t>
      </w:r>
    </w:p>
    <w:p w14:paraId="19AA8E17" w14:textId="77777777" w:rsidR="00962712" w:rsidRDefault="00BF4269">
      <w:r>
        <w:rPr>
          <w:b/>
          <w:bCs/>
        </w:rPr>
        <w:t>GAUDET-BLAVIGNAC ET AL. (2021)</w:t>
      </w:r>
      <w:r>
        <w:t xml:space="preserve"> </w:t>
      </w:r>
      <w:r>
        <w:rPr>
          <w:b/>
          <w:bCs/>
        </w:rPr>
        <w:t>Aporte:</w:t>
      </w:r>
      <w:r>
        <w:t xml:space="preserve"> Diseñan una estrategia nacional de tres pilares para habilitar el uso secundario interoperable de datos de salud en la Swiss </w:t>
      </w:r>
      <w:proofErr w:type="spellStart"/>
      <w:r>
        <w:t>Personalized</w:t>
      </w:r>
      <w:proofErr w:type="spellEnd"/>
      <w:r>
        <w:t xml:space="preserve"> Health Network. </w:t>
      </w:r>
      <w:r>
        <w:rPr>
          <w:b/>
          <w:bCs/>
        </w:rPr>
        <w:t>Problema:</w:t>
      </w:r>
      <w:r>
        <w:t xml:space="preserve"> Baja reutilización de datos clínicos por heterogeneidad semántica entre hospitales y barreras organizativas para la compartición multicéntrica. </w:t>
      </w:r>
      <w:r>
        <w:rPr>
          <w:b/>
          <w:bCs/>
        </w:rPr>
        <w:t>Objetivo:</w:t>
      </w:r>
      <w:r>
        <w:t xml:space="preserve"> Habilitar investigación multicéntrica con datos clínicos interoperables en una red nacional suiza. </w:t>
      </w:r>
      <w:r>
        <w:rPr>
          <w:b/>
          <w:bCs/>
        </w:rPr>
        <w:t>Metodología:</w:t>
      </w:r>
      <w:r>
        <w:t xml:space="preserve"> Estudio metodológico en el contexto de la Swiss </w:t>
      </w:r>
      <w:proofErr w:type="spellStart"/>
      <w:r>
        <w:t>Personalized</w:t>
      </w:r>
      <w:proofErr w:type="spellEnd"/>
      <w:r>
        <w:t xml:space="preserve"> Health Network (SPHN), con desarrollo de estrategia de tres pilares: gobernanza, normalización semántica y evaluación operativa. </w:t>
      </w:r>
      <w:r>
        <w:rPr>
          <w:b/>
          <w:bCs/>
        </w:rPr>
        <w:t>Instrumentos de evaluación:</w:t>
      </w:r>
      <w:r>
        <w:t xml:space="preserve"> Diseño de marco de gobernanza, definición de estándares de normalización semántica y evaluación de factibilidad operativa en hospitales participantes. </w:t>
      </w:r>
      <w:r>
        <w:rPr>
          <w:b/>
          <w:bCs/>
        </w:rPr>
        <w:t>Métricas o indicadores de desempeño:</w:t>
      </w:r>
      <w:r>
        <w:t xml:space="preserve"> Factibilidad operativa de la estrategia y grado de normalización semántica logrado en la red. </w:t>
      </w:r>
      <w:r>
        <w:rPr>
          <w:b/>
          <w:bCs/>
        </w:rPr>
        <w:t>Resultados:</w:t>
      </w:r>
      <w:r>
        <w:t xml:space="preserve"> Propuesta operativa validada para escalar interoperabilidad orientada al uso secundario; sin estrategia semántica coordinada, los registros presentan altas tasas de campos vacíos o mal estructurados. </w:t>
      </w:r>
      <w:r>
        <w:rPr>
          <w:b/>
          <w:bCs/>
        </w:rPr>
        <w:t>Limitaciones:</w:t>
      </w:r>
      <w:r>
        <w:t xml:space="preserve"> Contexto suizo con alta madurez digital e inversión; la transferibilidad a países con menor infraestructura requiere adaptación. </w:t>
      </w:r>
      <w:r>
        <w:rPr>
          <w:b/>
          <w:bCs/>
        </w:rPr>
        <w:t>Crítica o aporte a la tesis:</w:t>
      </w:r>
      <w:r>
        <w:t xml:space="preserve"> La advertencia sobre campos vacíos sin estrategia semántica fundamenta la hipótesis de esta tesis sobre brechas de </w:t>
      </w:r>
      <w:r>
        <w:rPr>
          <w:i/>
          <w:iCs/>
        </w:rPr>
        <w:t>completitud</w:t>
      </w:r>
      <w:r>
        <w:t xml:space="preserve"> en centros MINSA y refuerza la necesidad de combinar estandarización técnica con gobernanza institucional.</w:t>
      </w:r>
    </w:p>
    <w:p w14:paraId="3F19C400" w14:textId="77777777" w:rsidR="00962712" w:rsidRDefault="00BF4269">
      <w:r>
        <w:rPr>
          <w:b/>
          <w:bCs/>
        </w:rPr>
        <w:t>MUKHIYA ET AL. (2021)</w:t>
      </w:r>
      <w:r>
        <w:t xml:space="preserve"> </w:t>
      </w:r>
      <w:r>
        <w:rPr>
          <w:b/>
          <w:bCs/>
        </w:rPr>
        <w:t>Aporte:</w:t>
      </w:r>
      <w:r>
        <w:t xml:space="preserve"> Combinan FHIR con </w:t>
      </w:r>
      <w:proofErr w:type="spellStart"/>
      <w:r>
        <w:t>GraphQL</w:t>
      </w:r>
      <w:proofErr w:type="spellEnd"/>
      <w:r>
        <w:t xml:space="preserve"> para consultas clínicas flexibles sobre EHR heterogéneos, reduciendo el acoplamiento entre sistemas. </w:t>
      </w:r>
      <w:r>
        <w:rPr>
          <w:b/>
          <w:bCs/>
        </w:rPr>
        <w:t>Problema:</w:t>
      </w:r>
      <w:r>
        <w:t xml:space="preserve"> Rigidez en la integración de datos clínicos cuando se depende de conectores punto a punto entre sistemas. </w:t>
      </w:r>
      <w:r>
        <w:rPr>
          <w:b/>
          <w:bCs/>
        </w:rPr>
        <w:t>Objetivo:</w:t>
      </w:r>
      <w:r>
        <w:t xml:space="preserve"> Reducir el acoplamiento entre sistemas y facilitar la integración incremental mediante una capa API basada en FHIR y </w:t>
      </w:r>
      <w:proofErr w:type="spellStart"/>
      <w:r>
        <w:t>GraphQL</w:t>
      </w:r>
      <w:proofErr w:type="spellEnd"/>
      <w:r>
        <w:t xml:space="preserve">. </w:t>
      </w:r>
      <w:r>
        <w:rPr>
          <w:b/>
          <w:bCs/>
        </w:rPr>
        <w:t>Metodología:</w:t>
      </w:r>
      <w:r>
        <w:t xml:space="preserve"> Desarrollo de aproximación arquitectónica con implementación de capa </w:t>
      </w:r>
      <w:proofErr w:type="spellStart"/>
      <w:r>
        <w:t>GraphQL</w:t>
      </w:r>
      <w:proofErr w:type="spellEnd"/>
      <w:r>
        <w:t xml:space="preserve"> sobre recursos FHIR y validación de interoperabilidad funcional. </w:t>
      </w:r>
      <w:r>
        <w:rPr>
          <w:b/>
          <w:bCs/>
        </w:rPr>
        <w:t>Instrumentos de evaluación:</w:t>
      </w:r>
      <w:r>
        <w:t xml:space="preserve"> Pruebas de consulta </w:t>
      </w:r>
      <w:proofErr w:type="spellStart"/>
      <w:r>
        <w:t>multi-recurso</w:t>
      </w:r>
      <w:proofErr w:type="spellEnd"/>
      <w:r>
        <w:t xml:space="preserve">, compatibilidad de intercambio entre sistemas y </w:t>
      </w:r>
      <w:r>
        <w:lastRenderedPageBreak/>
        <w:t xml:space="preserve">consistencia de respuestas devueltas. </w:t>
      </w:r>
      <w:r>
        <w:rPr>
          <w:b/>
          <w:bCs/>
        </w:rPr>
        <w:t>Métricas o indicadores de desempeño:</w:t>
      </w:r>
      <w:r>
        <w:t xml:space="preserve"> Flexibilidad de consulta, grado de acoplamiento entre sistemas y consistencia de respuestas. </w:t>
      </w:r>
      <w:r>
        <w:rPr>
          <w:b/>
          <w:bCs/>
        </w:rPr>
        <w:t>Resultados:</w:t>
      </w:r>
      <w:r>
        <w:t xml:space="preserve"> Demuestran viabilidad de integración flexible con menor dependencia entre plataformas; una sola consulta </w:t>
      </w:r>
      <w:proofErr w:type="spellStart"/>
      <w:r>
        <w:t>GraphQL</w:t>
      </w:r>
      <w:proofErr w:type="spellEnd"/>
      <w:r>
        <w:t xml:space="preserve"> agrega datos de múltiples recursos FHIR reduciendo llamadas al servidor. </w:t>
      </w:r>
      <w:r>
        <w:rPr>
          <w:b/>
          <w:bCs/>
        </w:rPr>
        <w:t>Limitaciones:</w:t>
      </w:r>
      <w:r>
        <w:t xml:space="preserve"> Prototipo técnico sin evaluación en entorno clínico de producción; la adopción de </w:t>
      </w:r>
      <w:proofErr w:type="spellStart"/>
      <w:r>
        <w:t>GraphQL</w:t>
      </w:r>
      <w:proofErr w:type="spellEnd"/>
      <w:r>
        <w:t xml:space="preserve"> requiere capacitación adicional. </w:t>
      </w:r>
      <w:r>
        <w:rPr>
          <w:b/>
          <w:bCs/>
        </w:rPr>
        <w:t>Crítica o aporte a la tesis:</w:t>
      </w:r>
      <w:r>
        <w:t xml:space="preserve"> La combinación FHIR + </w:t>
      </w:r>
      <w:proofErr w:type="spellStart"/>
      <w:r>
        <w:t>GraphQL</w:t>
      </w:r>
      <w:proofErr w:type="spellEnd"/>
      <w:r>
        <w:t xml:space="preserve"> es una alternativa para optimizar consultas clínicas complejas, aunque la prioridad de esta tesis es la conformidad con FHIR </w:t>
      </w:r>
      <w:proofErr w:type="spellStart"/>
      <w:r>
        <w:t>RESTful</w:t>
      </w:r>
      <w:proofErr w:type="spellEnd"/>
      <w:r>
        <w:t xml:space="preserve"> API estándar.</w:t>
      </w:r>
    </w:p>
    <w:p w14:paraId="5A80FDF4" w14:textId="77777777" w:rsidR="00962712" w:rsidRDefault="00BF4269">
      <w:r>
        <w:rPr>
          <w:b/>
          <w:bCs/>
        </w:rPr>
        <w:t>LIU ET AL. (2023)</w:t>
      </w:r>
      <w:r>
        <w:t xml:space="preserve"> </w:t>
      </w:r>
      <w:r>
        <w:rPr>
          <w:b/>
          <w:bCs/>
        </w:rPr>
        <w:t>Aporte:</w:t>
      </w:r>
      <w:r>
        <w:t xml:space="preserve"> Implementan un sistema EMR intercambiable en formato FHIR con enfoque de rendimiento y visualización dinámica, sustituyendo el </w:t>
      </w:r>
      <w:proofErr w:type="spellStart"/>
      <w:r>
        <w:t>gateway</w:t>
      </w:r>
      <w:proofErr w:type="spellEnd"/>
      <w:r>
        <w:t xml:space="preserve"> del centro de intercambio de registros médicos de Taiwán. </w:t>
      </w:r>
      <w:r>
        <w:rPr>
          <w:b/>
          <w:bCs/>
        </w:rPr>
        <w:t>Problema:</w:t>
      </w:r>
      <w:r>
        <w:t xml:space="preserve"> Costos elevados y latencias significativas en la integración de datos clínicos cuando se depende de </w:t>
      </w:r>
      <w:proofErr w:type="spellStart"/>
      <w:r>
        <w:t>gateways</w:t>
      </w:r>
      <w:proofErr w:type="spellEnd"/>
      <w:r>
        <w:t xml:space="preserve"> tradicionales basados en CDA R2. </w:t>
      </w:r>
      <w:r>
        <w:rPr>
          <w:b/>
          <w:bCs/>
        </w:rPr>
        <w:t>Objetivo:</w:t>
      </w:r>
      <w:r>
        <w:t xml:space="preserve"> Validar que una arquitectura basada en servidor FHIR mejore los tiempos y costos de transformación de datos respecto al sistema CDA R2 existente. </w:t>
      </w:r>
      <w:r>
        <w:rPr>
          <w:b/>
          <w:bCs/>
        </w:rPr>
        <w:t>Metodología:</w:t>
      </w:r>
      <w:r>
        <w:t xml:space="preserve"> Implementación experimental con pruebas de carga y comparación de arquitectura FHIR vs. CDA R2 en el contexto del Electronic Medical Record Exchange Center de Taiwán (</w:t>
      </w:r>
      <w:proofErr w:type="spellStart"/>
      <w:r>
        <w:rPr>
          <w:i/>
          <w:iCs/>
        </w:rPr>
        <w:t>Healthcare</w:t>
      </w:r>
      <w:proofErr w:type="spellEnd"/>
      <w:r>
        <w:t xml:space="preserve">, MDPI). </w:t>
      </w:r>
      <w:r>
        <w:rPr>
          <w:b/>
          <w:bCs/>
        </w:rPr>
        <w:t>Instrumentos de evaluación:</w:t>
      </w:r>
      <w:r>
        <w:t xml:space="preserve"> Pruebas de rendimiento con Apache </w:t>
      </w:r>
      <w:proofErr w:type="spellStart"/>
      <w:r>
        <w:t>JMeter</w:t>
      </w:r>
      <w:proofErr w:type="spellEnd"/>
      <w:r>
        <w:t xml:space="preserve"> para evaluar carga y tiempo de respuesta; transmisión segura mediante HTTPS/TLS. Métricas de tiempo y costo de conversión de formato. </w:t>
      </w:r>
      <w:r>
        <w:rPr>
          <w:b/>
          <w:bCs/>
        </w:rPr>
        <w:t>Métricas o indicadores de desempeño:</w:t>
      </w:r>
      <w:r>
        <w:t xml:space="preserve"> Tiempo de respuesta, </w:t>
      </w:r>
      <w:proofErr w:type="spellStart"/>
      <w:r>
        <w:t>throughput</w:t>
      </w:r>
      <w:proofErr w:type="spellEnd"/>
      <w:r>
        <w:t xml:space="preserve"> (transacciones/segundo), tiempo de conversión de formato y costo operativo de integración. </w:t>
      </w:r>
      <w:r>
        <w:rPr>
          <w:b/>
          <w:bCs/>
        </w:rPr>
        <w:t>Resultados:</w:t>
      </w:r>
      <w:r>
        <w:t xml:space="preserve"> Reducción significativa en tiempos y costos de transformación de datos clínicos al reemplazar el </w:t>
      </w:r>
      <w:proofErr w:type="spellStart"/>
      <w:r>
        <w:t>gateway</w:t>
      </w:r>
      <w:proofErr w:type="spellEnd"/>
      <w:r>
        <w:t xml:space="preserve"> CDA por un servidor FHIR; la transmisión HTTPS/TLS preserva la integridad de los datos. </w:t>
      </w:r>
      <w:r>
        <w:rPr>
          <w:b/>
          <w:bCs/>
        </w:rPr>
        <w:t>Limitaciones:</w:t>
      </w:r>
      <w:r>
        <w:t xml:space="preserve"> Implementación en el contexto específico de Taiwán; los resultados pueden variar en ecosistemas con diferente madurez de infraestructura digital. </w:t>
      </w:r>
      <w:r>
        <w:rPr>
          <w:b/>
          <w:bCs/>
        </w:rPr>
        <w:t>Crítica o aporte a la tesis:</w:t>
      </w:r>
      <w:r>
        <w:t xml:space="preserve"> Las pruebas con </w:t>
      </w:r>
      <w:proofErr w:type="spellStart"/>
      <w:r>
        <w:t>JMeter</w:t>
      </w:r>
      <w:proofErr w:type="spellEnd"/>
      <w:r>
        <w:t xml:space="preserve"> proveen una metodología de evaluación de rendimiento replicable para la capa FHIR piloto de esta tesis. La demostración de reducción de costos respalda la viabilidad económica de adoptar FHIR en centros MINSA.</w:t>
      </w:r>
    </w:p>
    <w:p w14:paraId="219B5E32" w14:textId="77777777" w:rsidR="00962712" w:rsidRDefault="00BF4269">
      <w:r>
        <w:rPr>
          <w:b/>
          <w:bCs/>
        </w:rPr>
        <w:lastRenderedPageBreak/>
        <w:t>ANAND Y SADHNA (2023)</w:t>
      </w:r>
      <w:r>
        <w:t xml:space="preserve"> </w:t>
      </w:r>
      <w:r>
        <w:rPr>
          <w:b/>
          <w:bCs/>
        </w:rPr>
        <w:t>Aporte:</w:t>
      </w:r>
      <w:r>
        <w:t xml:space="preserve"> Analizan </w:t>
      </w:r>
      <w:proofErr w:type="spellStart"/>
      <w:r>
        <w:t>bibliométricamente</w:t>
      </w:r>
      <w:proofErr w:type="spellEnd"/>
      <w:r>
        <w:t xml:space="preserve"> la convergencia entre FHIR y </w:t>
      </w:r>
      <w:proofErr w:type="spellStart"/>
      <w:r>
        <w:t>blockchain</w:t>
      </w:r>
      <w:proofErr w:type="spellEnd"/>
      <w:r>
        <w:t xml:space="preserve"> en interoperabilidad EHR, identificando tendencias y líneas emergentes de investigación. </w:t>
      </w:r>
      <w:r>
        <w:rPr>
          <w:b/>
          <w:bCs/>
        </w:rPr>
        <w:t>Problema:</w:t>
      </w:r>
      <w:r>
        <w:t xml:space="preserve"> Dispersión de evidencia sobre la madurez y evolución de los enfoques combinados </w:t>
      </w:r>
      <w:proofErr w:type="spellStart"/>
      <w:r>
        <w:t>blockchain</w:t>
      </w:r>
      <w:proofErr w:type="spellEnd"/>
      <w:r>
        <w:t xml:space="preserve"> + FHIR para intercambio clínico seguro. </w:t>
      </w:r>
      <w:r>
        <w:rPr>
          <w:b/>
          <w:bCs/>
        </w:rPr>
        <w:t>Objetivo:</w:t>
      </w:r>
      <w:r>
        <w:t xml:space="preserve"> Identificar tendencias, vacíos y líneas emergentes de investigación en interoperabilidad segura basada en FHIR y </w:t>
      </w:r>
      <w:proofErr w:type="spellStart"/>
      <w:r>
        <w:t>blockchain</w:t>
      </w:r>
      <w:proofErr w:type="spellEnd"/>
      <w:r>
        <w:t xml:space="preserve">. </w:t>
      </w:r>
      <w:r>
        <w:rPr>
          <w:b/>
          <w:bCs/>
        </w:rPr>
        <w:t>Metodología:</w:t>
      </w:r>
      <w:r>
        <w:t xml:space="preserve"> Estudio bibliométrico con análisis temático de publicaciones 2013-2022 en la base </w:t>
      </w:r>
      <w:proofErr w:type="spellStart"/>
      <w:r>
        <w:t>Scopus</w:t>
      </w:r>
      <w:proofErr w:type="spellEnd"/>
      <w:r>
        <w:t xml:space="preserve">, utilizando el software </w:t>
      </w:r>
      <w:proofErr w:type="spellStart"/>
      <w:r>
        <w:t>Bibliometrix</w:t>
      </w:r>
      <w:proofErr w:type="spellEnd"/>
      <w:r>
        <w:t xml:space="preserve"> de R-Studio (</w:t>
      </w:r>
      <w:proofErr w:type="spellStart"/>
      <w:r>
        <w:rPr>
          <w:i/>
          <w:iCs/>
        </w:rPr>
        <w:t>Perspectives</w:t>
      </w:r>
      <w:proofErr w:type="spellEnd"/>
      <w:r>
        <w:rPr>
          <w:i/>
          <w:iCs/>
        </w:rPr>
        <w:t xml:space="preserve"> in </w:t>
      </w:r>
      <w:proofErr w:type="spellStart"/>
      <w:r>
        <w:rPr>
          <w:i/>
          <w:iCs/>
        </w:rPr>
        <w:t>Clinical</w:t>
      </w:r>
      <w:proofErr w:type="spellEnd"/>
      <w:r>
        <w:rPr>
          <w:i/>
          <w:iCs/>
        </w:rPr>
        <w:t xml:space="preserve"> </w:t>
      </w:r>
      <w:proofErr w:type="spellStart"/>
      <w:r>
        <w:rPr>
          <w:i/>
          <w:iCs/>
        </w:rPr>
        <w:t>Research</w:t>
      </w:r>
      <w:proofErr w:type="spellEnd"/>
      <w:r>
        <w:t xml:space="preserve">). </w:t>
      </w:r>
      <w:r>
        <w:rPr>
          <w:b/>
          <w:bCs/>
        </w:rPr>
        <w:t>Instrumentos de evaluación:</w:t>
      </w:r>
      <w:r>
        <w:t xml:space="preserve"> Dos cadenas de búsqueda: String A (EHR + FHIR, 302 documentos) y String B (EHR + </w:t>
      </w:r>
      <w:proofErr w:type="spellStart"/>
      <w:r>
        <w:t>Blockchain</w:t>
      </w:r>
      <w:proofErr w:type="spellEnd"/>
      <w:r>
        <w:t xml:space="preserve">, 758 documentos). Indicadores bibliométricos: producción anual, colaboración por país, evolución temática y mapas de coocurrencia. </w:t>
      </w:r>
      <w:r>
        <w:rPr>
          <w:b/>
          <w:bCs/>
        </w:rPr>
        <w:t>Métricas o indicadores de desempeño:</w:t>
      </w:r>
      <w:r>
        <w:t xml:space="preserve"> Producción científica anual, citas promedio por documento (6,6 para FHIR y 15,4 para </w:t>
      </w:r>
      <w:proofErr w:type="spellStart"/>
      <w:r>
        <w:t>blockchain</w:t>
      </w:r>
      <w:proofErr w:type="spellEnd"/>
      <w:r>
        <w:t xml:space="preserve">) y evolución temática de palabras clave. </w:t>
      </w:r>
      <w:r>
        <w:rPr>
          <w:b/>
          <w:bCs/>
        </w:rPr>
        <w:t>Resultados:</w:t>
      </w:r>
      <w:r>
        <w:t xml:space="preserve"> Confirman crecimiento sostenido de ambos campos. La interoperabilidad de datos se introduce como tema desde 2020. El mapeo temático posiciona la “interoperabilidad” como un tema bien desarrollado. </w:t>
      </w:r>
      <w:proofErr w:type="spellStart"/>
      <w:r>
        <w:t>Blockchain</w:t>
      </w:r>
      <w:proofErr w:type="spellEnd"/>
      <w:r>
        <w:t xml:space="preserve"> con EHR muestra mayor producción y citación que FHIR con EHR. </w:t>
      </w:r>
      <w:r>
        <w:rPr>
          <w:b/>
          <w:bCs/>
        </w:rPr>
        <w:t>Limitaciones:</w:t>
      </w:r>
      <w:r>
        <w:t xml:space="preserve"> Análisis limitado a </w:t>
      </w:r>
      <w:proofErr w:type="spellStart"/>
      <w:r>
        <w:t>Scopus</w:t>
      </w:r>
      <w:proofErr w:type="spellEnd"/>
      <w:r>
        <w:t xml:space="preserve">; la exclusión de PubMed e IEEE puede subestimar publicaciones en informática biomédica. </w:t>
      </w:r>
      <w:r>
        <w:rPr>
          <w:b/>
          <w:bCs/>
        </w:rPr>
        <w:t>Crítica o aporte a la tesis:</w:t>
      </w:r>
      <w:r>
        <w:t xml:space="preserve"> El hallazgo de que la interoperabilidad de datos es un dominio relativamente nuevo (desde 2020) refuerza la oportunidad de investigación que aborda esta tesis. La convergencia FHIR-</w:t>
      </w:r>
      <w:proofErr w:type="spellStart"/>
      <w:r>
        <w:t>blockchain</w:t>
      </w:r>
      <w:proofErr w:type="spellEnd"/>
      <w:r>
        <w:t xml:space="preserve"> es relevante para las propuestas de </w:t>
      </w:r>
      <w:r>
        <w:rPr>
          <w:i/>
          <w:iCs/>
        </w:rPr>
        <w:t>trazabilidad</w:t>
      </w:r>
      <w:r>
        <w:t xml:space="preserve"> por </w:t>
      </w:r>
      <w:proofErr w:type="spellStart"/>
      <w:r>
        <w:t>blockchain</w:t>
      </w:r>
      <w:proofErr w:type="spellEnd"/>
      <w:r>
        <w:t xml:space="preserve"> en los antecedentes nacionales de Mauricio et al. (2024) y Bran et al. (2024).</w:t>
      </w:r>
    </w:p>
    <w:p w14:paraId="607974DC" w14:textId="77777777" w:rsidR="00962712" w:rsidRDefault="00BF4269">
      <w:r>
        <w:rPr>
          <w:b/>
          <w:bCs/>
        </w:rPr>
        <w:t>SURISETTY (2026)</w:t>
      </w:r>
      <w:r>
        <w:t xml:space="preserve"> </w:t>
      </w:r>
      <w:r>
        <w:rPr>
          <w:b/>
          <w:bCs/>
        </w:rPr>
        <w:t>Aporte:</w:t>
      </w:r>
      <w:r>
        <w:t xml:space="preserve"> Propone un </w:t>
      </w:r>
      <w:proofErr w:type="spellStart"/>
      <w:r>
        <w:t>blueprint</w:t>
      </w:r>
      <w:proofErr w:type="spellEnd"/>
      <w:r>
        <w:t xml:space="preserve"> de interoperabilidad clínica de extremo a extremo que integra HL7, FHIR, CCD y EHR en una secuencia práctica de implementación por fases. </w:t>
      </w:r>
      <w:r>
        <w:rPr>
          <w:b/>
          <w:bCs/>
        </w:rPr>
        <w:t>Problema:</w:t>
      </w:r>
      <w:r>
        <w:t xml:space="preserve"> Brecha entre las recomendaciones conceptuales de alto nivel sobre interoperabilidad y la ausencia de guías operativas de implementación paso a paso. </w:t>
      </w:r>
      <w:r>
        <w:rPr>
          <w:b/>
          <w:bCs/>
        </w:rPr>
        <w:t>Objetivo:</w:t>
      </w:r>
      <w:r>
        <w:t xml:space="preserve"> Integrar lineamientos técnicos en una secuencia práctica de implementación por fases que cubra los cuatro niveles de interoperabilidad. </w:t>
      </w:r>
      <w:r>
        <w:rPr>
          <w:b/>
          <w:bCs/>
        </w:rPr>
        <w:t>Metodología:</w:t>
      </w:r>
      <w:r>
        <w:t xml:space="preserve"> Propuesta aplicada de arquitectura de referencia y flujo de integración integral, cubriendo ingestión, transformación, normalización semántica, seguridad y consentimiento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Multidisciplinary</w:t>
      </w:r>
      <w:proofErr w:type="spellEnd"/>
      <w:r>
        <w:rPr>
          <w:i/>
          <w:iCs/>
        </w:rPr>
        <w:t xml:space="preserve"> </w:t>
      </w:r>
      <w:proofErr w:type="spellStart"/>
      <w:r>
        <w:rPr>
          <w:i/>
          <w:iCs/>
        </w:rPr>
        <w:lastRenderedPageBreak/>
        <w:t>Science</w:t>
      </w:r>
      <w:proofErr w:type="spellEnd"/>
      <w:r>
        <w:rPr>
          <w:i/>
          <w:iCs/>
        </w:rPr>
        <w:t xml:space="preserve"> and </w:t>
      </w:r>
      <w:proofErr w:type="spellStart"/>
      <w:r>
        <w:rPr>
          <w:i/>
          <w:iCs/>
        </w:rPr>
        <w:t>Engineering</w:t>
      </w:r>
      <w:proofErr w:type="spellEnd"/>
      <w:r>
        <w:rPr>
          <w:i/>
          <w:iCs/>
        </w:rPr>
        <w:t xml:space="preserve"> in Health </w:t>
      </w:r>
      <w:proofErr w:type="spellStart"/>
      <w:r>
        <w:rPr>
          <w:i/>
          <w:iCs/>
        </w:rPr>
        <w:t>Research</w:t>
      </w:r>
      <w:proofErr w:type="spellEnd"/>
      <w:r>
        <w:t xml:space="preserve">). </w:t>
      </w:r>
      <w:r>
        <w:rPr>
          <w:b/>
          <w:bCs/>
        </w:rPr>
        <w:t>Instrumentos de evaluación:</w:t>
      </w:r>
      <w:r>
        <w:t xml:space="preserve"> Definición de flujo técnico, componentes de arquitectura de referencia </w:t>
      </w:r>
      <w:proofErr w:type="spellStart"/>
      <w:r>
        <w:t>y</w:t>
      </w:r>
      <w:proofErr w:type="spellEnd"/>
      <w:r>
        <w:t xml:space="preserve"> hitos operativos de despliegue. Cobertura de los cuatro niveles: fundacional, estructural, semántico y organizacional. </w:t>
      </w:r>
      <w:r>
        <w:rPr>
          <w:b/>
          <w:bCs/>
        </w:rPr>
        <w:t>Métricas o indicadores de desempeño:</w:t>
      </w:r>
      <w:r>
        <w:t xml:space="preserve"> Cobertura de los cuatro niveles de interoperabilidad y completitud del flujo de implementación propuesto. </w:t>
      </w:r>
      <w:r>
        <w:rPr>
          <w:b/>
          <w:bCs/>
        </w:rPr>
        <w:t>Resultados:</w:t>
      </w:r>
      <w:r>
        <w:t xml:space="preserve"> Ofrece hoja de ruta replicable para proyectos de interoperabilidad clínica por etapas, incluyendo rutas de migración de HL7 v2 a FHIR, normalización semántica y marcos regulatorios (HIPAA, HITECH). </w:t>
      </w:r>
      <w:r>
        <w:rPr>
          <w:b/>
          <w:bCs/>
        </w:rPr>
        <w:t>Limitaciones:</w:t>
      </w:r>
      <w:r>
        <w:t xml:space="preserve"> Propuesta teórica-aplicada sin validación empírica cuantitativa; la replicabilidad depende de la infraestructura disponible en cada contexto. </w:t>
      </w:r>
      <w:r>
        <w:rPr>
          <w:b/>
          <w:bCs/>
        </w:rPr>
        <w:t>Crítica o aporte a la tesis:</w:t>
      </w:r>
      <w:r>
        <w:t xml:space="preserve"> La hoja de ruta por fases es un referente directo para la estrategia trifásica (diagnóstico, implementación piloto, evaluación) de esta tesis. La cobertura de los cuatro niveles de interoperabilidad alinea los requisitos técnicos con el marco conceptual del estudio.</w:t>
      </w:r>
    </w:p>
    <w:p w14:paraId="2E850DD0" w14:textId="77777777" w:rsidR="00962712" w:rsidRDefault="00BF4269">
      <w:r>
        <w:rPr>
          <w:b/>
          <w:bCs/>
        </w:rPr>
        <w:t>FERNANDEZ ET AL. (2025)</w:t>
      </w:r>
      <w:r>
        <w:t xml:space="preserve"> </w:t>
      </w:r>
      <w:r>
        <w:rPr>
          <w:b/>
          <w:bCs/>
        </w:rPr>
        <w:t>Aporte:</w:t>
      </w:r>
      <w:r>
        <w:t xml:space="preserve"> Aportan evidencia aplicada de interoperabilidad en un sistema de salud universal, con la red pública brasileña como referente para América Latina. </w:t>
      </w:r>
      <w:r>
        <w:rPr>
          <w:b/>
          <w:bCs/>
        </w:rPr>
        <w:t>Problema:</w:t>
      </w:r>
      <w:r>
        <w:t xml:space="preserve"> Fragmentación </w:t>
      </w:r>
      <w:proofErr w:type="spellStart"/>
      <w:r>
        <w:t>inter-nivel</w:t>
      </w:r>
      <w:proofErr w:type="spellEnd"/>
      <w:r>
        <w:t xml:space="preserve"> que limita el seguimiento clínico y la gestión integral del paciente entre atención primaria y hospitalaria. </w:t>
      </w:r>
      <w:r>
        <w:rPr>
          <w:b/>
          <w:bCs/>
        </w:rPr>
        <w:t>Objetivo:</w:t>
      </w:r>
      <w:r>
        <w:t xml:space="preserve"> Analizar la integración entre atención primaria y hospitalaria para la continuidad clínica poblacional en el sistema de salud de Brasil. </w:t>
      </w:r>
      <w:r>
        <w:rPr>
          <w:b/>
          <w:bCs/>
        </w:rPr>
        <w:t>Metodología:</w:t>
      </w:r>
      <w:r>
        <w:t xml:space="preserve"> Análisis de la experiencia nacional brasileña y lecciones de implementación de interoperabilidad en la red pública de salud. </w:t>
      </w:r>
      <w:r>
        <w:rPr>
          <w:b/>
          <w:bCs/>
        </w:rPr>
        <w:t>Instrumentos de evaluación:</w:t>
      </w:r>
      <w:r>
        <w:t xml:space="preserve"> Evaluación comparativa de flujos de información y coordinación asistencial entre niveles de atención. </w:t>
      </w:r>
      <w:r>
        <w:rPr>
          <w:b/>
          <w:bCs/>
        </w:rPr>
        <w:t>Métricas o indicadores de desempeño:</w:t>
      </w:r>
      <w:r>
        <w:t xml:space="preserve"> Grado de coordinación asistencial y efectividad de los flujos de información entre niveles del sistema. </w:t>
      </w:r>
      <w:r>
        <w:rPr>
          <w:b/>
          <w:bCs/>
        </w:rPr>
        <w:t>Resultados:</w:t>
      </w:r>
      <w:r>
        <w:t xml:space="preserve"> Identifican que la combinación de estándares técnicos + procesos organizacionales + gobernanza sostenida es condición necesaria para el impacto de la interoperabilidad en la continuidad del cuidado. </w:t>
      </w:r>
      <w:r>
        <w:rPr>
          <w:b/>
          <w:bCs/>
        </w:rPr>
        <w:t>Limitaciones:</w:t>
      </w:r>
      <w:r>
        <w:t xml:space="preserve"> Estudio de un contexto nacional específico (Brasil); la transferibilidad a Perú requiere considerar diferencias en estructura del sistema y madurez digital. </w:t>
      </w:r>
      <w:r>
        <w:rPr>
          <w:b/>
          <w:bCs/>
        </w:rPr>
        <w:t>Crítica o aporte a la tesis:</w:t>
      </w:r>
      <w:r>
        <w:t xml:space="preserve"> El hallazgo de que estándares solos no son suficientes sin gobernanza y procesos sostenidos respalda el enfoque </w:t>
      </w:r>
      <w:r>
        <w:lastRenderedPageBreak/>
        <w:t>integral de esta tesis, que combina componente técnico (FHIR) con evaluación de brechas institucionales y lineamientos de escalabilidad.</w:t>
      </w:r>
    </w:p>
    <w:p w14:paraId="416FC200" w14:textId="77777777" w:rsidR="00962712" w:rsidRDefault="00BF4269">
      <w:pPr>
        <w:pStyle w:val="Ttulo3"/>
      </w:pPr>
      <w:bookmarkStart w:id="52" w:name="nacionales"/>
      <w:bookmarkStart w:id="53" w:name="_Toc225890740"/>
      <w:bookmarkEnd w:id="50"/>
      <w:r>
        <w:t>2.1.2. Nacionales</w:t>
      </w:r>
      <w:bookmarkEnd w:id="53"/>
    </w:p>
    <w:p w14:paraId="777240E1" w14:textId="77777777" w:rsidR="00962712" w:rsidRDefault="00BF4269">
      <w:r>
        <w:rPr>
          <w:b/>
          <w:bCs/>
        </w:rPr>
        <w:t>MAURICIO ET AL. (2024)</w:t>
      </w:r>
      <w:r>
        <w:t xml:space="preserve"> </w:t>
      </w:r>
      <w:r>
        <w:rPr>
          <w:b/>
          <w:bCs/>
        </w:rPr>
        <w:t>Aporte:</w:t>
      </w:r>
      <w:r>
        <w:t xml:space="preserve"> Proponen un sistema peruano de interoperabilidad de EHR basado en HL7 FHIR y </w:t>
      </w:r>
      <w:proofErr w:type="spellStart"/>
      <w:r>
        <w:t>blockchain</w:t>
      </w:r>
      <w:proofErr w:type="spellEnd"/>
      <w:r>
        <w:t xml:space="preserve"> (Ethereum), incluyendo homologación de registros heterogéneos a recursos FHIR y almacenamiento descentralizado con IPFS. </w:t>
      </w:r>
      <w:r>
        <w:rPr>
          <w:b/>
          <w:bCs/>
        </w:rPr>
        <w:t>Problema:</w:t>
      </w:r>
      <w:r>
        <w:t xml:space="preserve"> En Perú no existe integración automática de historias clínicas electrónicas entre establecimientos de salud; cada centro gestiona datos de forma aislada con formatos diferentes. </w:t>
      </w:r>
      <w:r>
        <w:rPr>
          <w:b/>
          <w:bCs/>
        </w:rPr>
        <w:t>Objetivo:</w:t>
      </w:r>
      <w:r>
        <w:t xml:space="preserve"> Permitir el intercambio de EHR entre clínicas heterogéneas garantizando seguridad y privacidad de los datos mediante </w:t>
      </w:r>
      <w:proofErr w:type="spellStart"/>
      <w:r>
        <w:t>blockchain</w:t>
      </w:r>
      <w:proofErr w:type="spellEnd"/>
      <w:r>
        <w:t xml:space="preserve">. </w:t>
      </w:r>
      <w:r>
        <w:rPr>
          <w:b/>
          <w:bCs/>
        </w:rPr>
        <w:t>Metodología:</w:t>
      </w:r>
      <w:r>
        <w:t xml:space="preserve"> Diseño de arquitectura de interoperabilidad con homologación a recursos FHIR, </w:t>
      </w:r>
      <w:proofErr w:type="spellStart"/>
      <w:r>
        <w:t>blockchain</w:t>
      </w:r>
      <w:proofErr w:type="spellEnd"/>
      <w:r>
        <w:t xml:space="preserve"> (Ethereum) y simulación de caso entre establecimientos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Online and </w:t>
      </w:r>
      <w:proofErr w:type="spellStart"/>
      <w:r>
        <w:rPr>
          <w:i/>
          <w:iCs/>
        </w:rPr>
        <w:t>Biomedical</w:t>
      </w:r>
      <w:proofErr w:type="spellEnd"/>
      <w:r>
        <w:rPr>
          <w:i/>
          <w:iCs/>
        </w:rPr>
        <w:t xml:space="preserve"> </w:t>
      </w:r>
      <w:proofErr w:type="spellStart"/>
      <w:r>
        <w:rPr>
          <w:i/>
          <w:iCs/>
        </w:rPr>
        <w:t>Engineering</w:t>
      </w:r>
      <w:proofErr w:type="spellEnd"/>
      <w:r>
        <w:t xml:space="preserve">). </w:t>
      </w:r>
      <w:r>
        <w:rPr>
          <w:b/>
          <w:bCs/>
        </w:rPr>
        <w:t>Instrumentos de evaluación:</w:t>
      </w:r>
      <w:r>
        <w:t xml:space="preserve"> Encuesta de adopción a n = 30 pacientes y encuesta de usabilidad a n = 10 médicos de un hospital público peruano. Variables evaluadas: percepción de adopción, usabilidad del sistema web y satisfacción con la interoperabilidad lograda. Fuente de datos: simulación con datos de caso clínico. </w:t>
      </w:r>
      <w:r>
        <w:rPr>
          <w:b/>
          <w:bCs/>
        </w:rPr>
        <w:t>Métricas o indicadores de desempeño:</w:t>
      </w:r>
      <w:r>
        <w:t xml:space="preserve"> Nivel de adopción percibida y nivel de usabilidad percibida (escalas tipo Likert). </w:t>
      </w:r>
      <w:r>
        <w:rPr>
          <w:b/>
          <w:bCs/>
        </w:rPr>
        <w:t>Resultados:</w:t>
      </w:r>
      <w:r>
        <w:t xml:space="preserve"> Niveles muy altos de adopción y usabilidad reportados tanto por pacientes como por médicos; factibilidad demostrada sin necesidad de reemplazar sistemas legados existentes. </w:t>
      </w:r>
      <w:r>
        <w:rPr>
          <w:b/>
          <w:bCs/>
        </w:rPr>
        <w:t>Limitaciones:</w:t>
      </w:r>
      <w:r>
        <w:t xml:space="preserve"> Validación basada en simulación de caso, no en producción real; muestra pequeña (30 pacientes, 10 médicos). No se reportan métricas cuantitativas de integridad de datos ni cobertura de campos clínicos. </w:t>
      </w:r>
      <w:r>
        <w:rPr>
          <w:b/>
          <w:bCs/>
        </w:rPr>
        <w:t>Crítica o aporte a la tesis:</w:t>
      </w:r>
      <w:r>
        <w:t xml:space="preserve"> El estudio aporta evidencia sobre </w:t>
      </w:r>
      <w:r>
        <w:rPr>
          <w:i/>
          <w:iCs/>
        </w:rPr>
        <w:t>trazabilidad</w:t>
      </w:r>
      <w:r>
        <w:t xml:space="preserve"> (</w:t>
      </w:r>
      <w:proofErr w:type="spellStart"/>
      <w:r>
        <w:t>blockchain</w:t>
      </w:r>
      <w:proofErr w:type="spellEnd"/>
      <w:r>
        <w:t xml:space="preserve"> genera registro inmutable de transacciones) y </w:t>
      </w:r>
      <w:r>
        <w:rPr>
          <w:i/>
          <w:iCs/>
        </w:rPr>
        <w:t>codificación</w:t>
      </w:r>
      <w:r>
        <w:t xml:space="preserve"> (la homologación FHIR estandariza la representación), aunque no mide el efecto sobre </w:t>
      </w:r>
      <w:r>
        <w:rPr>
          <w:i/>
          <w:iCs/>
        </w:rPr>
        <w:t>completitud</w:t>
      </w:r>
      <w:r>
        <w:t xml:space="preserve"> ni </w:t>
      </w:r>
      <w:r>
        <w:rPr>
          <w:i/>
          <w:iCs/>
        </w:rPr>
        <w:t>duplicidad</w:t>
      </w:r>
      <w:r>
        <w:t>, brechas que esta tesis sí se propone diagnosticar. Su diseño sin reemplazo de sistemas legados es relevante para la estrategia de implementación gradual en centros MINSA.</w:t>
      </w:r>
    </w:p>
    <w:p w14:paraId="752FF17E" w14:textId="77777777" w:rsidR="00962712" w:rsidRDefault="00BF4269">
      <w:r>
        <w:rPr>
          <w:b/>
          <w:bCs/>
        </w:rPr>
        <w:t>PORRAS GAMARRA (2024)</w:t>
      </w:r>
      <w:r>
        <w:t xml:space="preserve"> </w:t>
      </w:r>
      <w:r>
        <w:rPr>
          <w:b/>
          <w:bCs/>
        </w:rPr>
        <w:t>Aporte:</w:t>
      </w:r>
      <w:r>
        <w:t xml:space="preserve"> Documenta implementación real de interoperabilidad HL7 FHIR + </w:t>
      </w:r>
      <w:proofErr w:type="spellStart"/>
      <w:r>
        <w:t>openEHR</w:t>
      </w:r>
      <w:proofErr w:type="spellEnd"/>
      <w:r>
        <w:t xml:space="preserve"> en el proyecto M-</w:t>
      </w:r>
      <w:proofErr w:type="spellStart"/>
      <w:r>
        <w:t>Connecta</w:t>
      </w:r>
      <w:proofErr w:type="spellEnd"/>
      <w:r>
        <w:t xml:space="preserve"> (Cataluña), </w:t>
      </w:r>
      <w:r>
        <w:lastRenderedPageBreak/>
        <w:t xml:space="preserve">aportando experiencia técnica transferible al contexto peruano. </w:t>
      </w:r>
      <w:r>
        <w:rPr>
          <w:b/>
          <w:bCs/>
        </w:rPr>
        <w:t>Problema:</w:t>
      </w:r>
      <w:r>
        <w:t xml:space="preserve"> Brecha tecnológica entre los estándares de interoperabilidad avanzados disponibles internacionalmente y la realidad peruana fragmentada, donde los sistemas de HCE carecen de integración efectiva. </w:t>
      </w:r>
      <w:r>
        <w:rPr>
          <w:b/>
          <w:bCs/>
        </w:rPr>
        <w:t>Objetivo:</w:t>
      </w:r>
      <w:r>
        <w:t xml:space="preserve"> Validar el intercambio clínico efectivo y la persistencia semántica de datos mediante estándares internacionales HL7 FHIR y </w:t>
      </w:r>
      <w:proofErr w:type="spellStart"/>
      <w:r>
        <w:t>openEHR</w:t>
      </w:r>
      <w:proofErr w:type="spellEnd"/>
      <w:r>
        <w:t xml:space="preserve">. </w:t>
      </w:r>
      <w:r>
        <w:rPr>
          <w:b/>
          <w:bCs/>
        </w:rPr>
        <w:t>Metodología:</w:t>
      </w:r>
      <w:r>
        <w:t xml:space="preserve"> Trabajo de suficiencia profesional con análisis de implementación del proyecto M-</w:t>
      </w:r>
      <w:proofErr w:type="spellStart"/>
      <w:r>
        <w:t>Connecta</w:t>
      </w:r>
      <w:proofErr w:type="spellEnd"/>
      <w:r>
        <w:t xml:space="preserve">, incluyendo despliegue de mensajería FHIR y persistencia con arquetipos </w:t>
      </w:r>
      <w:proofErr w:type="spellStart"/>
      <w:r>
        <w:t>openEHR</w:t>
      </w:r>
      <w:proofErr w:type="spellEnd"/>
      <w:r>
        <w:t xml:space="preserve"> (UNFV, Lima). </w:t>
      </w:r>
      <w:r>
        <w:rPr>
          <w:b/>
          <w:bCs/>
        </w:rPr>
        <w:t>Instrumentos de evaluación:</w:t>
      </w:r>
      <w:r>
        <w:t xml:space="preserve"> Verificación funcional de mensajería FHIR entre sistemas, pruebas de persistencia con arquetipos </w:t>
      </w:r>
      <w:proofErr w:type="spellStart"/>
      <w:r>
        <w:t>openEHR</w:t>
      </w:r>
      <w:proofErr w:type="spellEnd"/>
      <w:r>
        <w:t xml:space="preserve"> y validación de la integridad del intercambio clínico. Experiencia práctica del autor en empresas como IN2 Ingeniería y Accenture España. </w:t>
      </w:r>
      <w:r>
        <w:rPr>
          <w:b/>
          <w:bCs/>
        </w:rPr>
        <w:t>Métricas o indicadores de desempeño:</w:t>
      </w:r>
      <w:r>
        <w:t xml:space="preserve"> Factibilidad de intercambio clínico mediante FHIR y grado de persistencia semántica con arquetipos </w:t>
      </w:r>
      <w:proofErr w:type="spellStart"/>
      <w:r>
        <w:t>openEHR</w:t>
      </w:r>
      <w:proofErr w:type="spellEnd"/>
      <w:r>
        <w:t xml:space="preserve">. </w:t>
      </w:r>
      <w:r>
        <w:rPr>
          <w:b/>
          <w:bCs/>
        </w:rPr>
        <w:t>Resultados:</w:t>
      </w:r>
      <w:r>
        <w:t xml:space="preserve"> Evidencia viabilidad técnica de combinar FHIR (intercambio) con </w:t>
      </w:r>
      <w:proofErr w:type="spellStart"/>
      <w:r>
        <w:t>openEHR</w:t>
      </w:r>
      <w:proofErr w:type="spellEnd"/>
      <w:r>
        <w:t xml:space="preserve"> (persistencia semántica) y recomienda la adopción de FHIR en las HCE peruanas como paso fundamental hacia la interoperabilidad. </w:t>
      </w:r>
      <w:r>
        <w:rPr>
          <w:b/>
          <w:bCs/>
        </w:rPr>
        <w:t>Limitaciones:</w:t>
      </w:r>
      <w:r>
        <w:t xml:space="preserve"> Implementación documentada en contexto europeo (Cataluña); la transferencia directa al ecosistema peruano requiere adaptación a la infraestructura local y al marco normativo MINSA. </w:t>
      </w:r>
      <w:r>
        <w:rPr>
          <w:b/>
          <w:bCs/>
        </w:rPr>
        <w:t>Crítica o aporte a la tesis:</w:t>
      </w:r>
      <w:r>
        <w:t xml:space="preserve"> Aborda directamente </w:t>
      </w:r>
      <w:r>
        <w:rPr>
          <w:i/>
          <w:iCs/>
        </w:rPr>
        <w:t>completitud</w:t>
      </w:r>
      <w:r>
        <w:t xml:space="preserve"> (arquetipos </w:t>
      </w:r>
      <w:proofErr w:type="spellStart"/>
      <w:r>
        <w:t>openEHR</w:t>
      </w:r>
      <w:proofErr w:type="spellEnd"/>
      <w:r>
        <w:t xml:space="preserve"> estructuran el contenido completo del registro) y </w:t>
      </w:r>
      <w:r>
        <w:rPr>
          <w:i/>
          <w:iCs/>
        </w:rPr>
        <w:t>codificación</w:t>
      </w:r>
      <w:r>
        <w:t xml:space="preserve"> (FHIR normaliza la representación semántica), sentando precedente técnico para las brechas que esta tesis diagnostica. Su recomendación de adopción de FHIR en Perú refuerza la pertinencia de esta investigación.</w:t>
      </w:r>
    </w:p>
    <w:p w14:paraId="4B50756B" w14:textId="77777777" w:rsidR="00962712" w:rsidRDefault="00BF4269">
      <w:r>
        <w:rPr>
          <w:b/>
          <w:bCs/>
        </w:rPr>
        <w:t>ARRUÉ PAJARES Y VARGAS RIOJA (2022)</w:t>
      </w:r>
      <w:r>
        <w:t xml:space="preserve"> </w:t>
      </w:r>
      <w:r>
        <w:rPr>
          <w:b/>
          <w:bCs/>
        </w:rPr>
        <w:t>Aporte:</w:t>
      </w:r>
      <w:r>
        <w:t xml:space="preserve"> Implementan un HIS interoperable basado en HL7 para centros de salud de categoría II-1 o superior en Perú, con integración de módulos clínicos y administrativos. </w:t>
      </w:r>
      <w:r>
        <w:rPr>
          <w:b/>
          <w:bCs/>
        </w:rPr>
        <w:t>Problema:</w:t>
      </w:r>
      <w:r>
        <w:t xml:space="preserve"> Sistemas de salud peruanos fraccionados (MINSA, EsSalud, sector privado) y sin integración efectiva entre sus componentes, agravado por la pandemia de COVID-19. </w:t>
      </w:r>
      <w:r>
        <w:rPr>
          <w:b/>
          <w:bCs/>
        </w:rPr>
        <w:t>Objetivo:</w:t>
      </w:r>
      <w:r>
        <w:t xml:space="preserve"> Integrar módulos administrativos y clínicos (HCE, farmacia, laboratorio, radiología) para mejorar el flujo hospitalario y habilitar el intercambio interinstitucional. </w:t>
      </w:r>
      <w:r>
        <w:rPr>
          <w:b/>
          <w:bCs/>
        </w:rPr>
        <w:t>Metodología:</w:t>
      </w:r>
      <w:r>
        <w:t xml:space="preserve"> Desarrollo de plataforma web HIS con protocolo HL7 mediante metodología ágil (Scrum), con arquitectura de servicios web interoperables (PUCP, Lima). </w:t>
      </w:r>
      <w:r>
        <w:rPr>
          <w:b/>
          <w:bCs/>
        </w:rPr>
        <w:t>Instrumentos de evaluación:</w:t>
      </w:r>
      <w:r>
        <w:t xml:space="preserve"> Pruebas de </w:t>
      </w:r>
      <w:r>
        <w:lastRenderedPageBreak/>
        <w:t xml:space="preserve">integración entre módulos (HCE, farmacia, laboratorio, radiología, citas), validación de requisitos de usabilidad y verificación de interoperabilidad. Herramientas: SonarQube para análisis de código, Spring Boot y Angular. </w:t>
      </w:r>
      <w:r>
        <w:rPr>
          <w:b/>
          <w:bCs/>
        </w:rPr>
        <w:t>Métricas o indicadores de desempeño:</w:t>
      </w:r>
      <w:r>
        <w:t xml:space="preserve"> Factibilidad de integración entre módulos, conformidad con protocolo HL7 y cumplimiento de requisitos de usabilidad. </w:t>
      </w:r>
      <w:r>
        <w:rPr>
          <w:b/>
          <w:bCs/>
        </w:rPr>
        <w:t>Resultados:</w:t>
      </w:r>
      <w:r>
        <w:t xml:space="preserve"> Demuestran factibilidad de interoperabilidad operativa en contexto nacional con HL7; la integración entre módulos permite flujo unificado de datos clínicos y administrativos. </w:t>
      </w:r>
      <w:r>
        <w:rPr>
          <w:b/>
          <w:bCs/>
        </w:rPr>
        <w:t>Limitaciones:</w:t>
      </w:r>
      <w:r>
        <w:t xml:space="preserve"> Implementación basada en HL7 v2 (no FHIR); no incluye validación con datos clínicos reales en un establecimiento del MINSA. El alcance se limita a un prototipo funcional. </w:t>
      </w:r>
      <w:r>
        <w:rPr>
          <w:b/>
          <w:bCs/>
        </w:rPr>
        <w:t>Crítica o aporte a la tesis:</w:t>
      </w:r>
      <w:r>
        <w:t xml:space="preserve"> El estudio incide en </w:t>
      </w:r>
      <w:r>
        <w:rPr>
          <w:i/>
          <w:iCs/>
        </w:rPr>
        <w:t>duplicidad</w:t>
      </w:r>
      <w:r>
        <w:t xml:space="preserve"> (la integración entre módulos reduce registros redundantes) y </w:t>
      </w:r>
      <w:r>
        <w:rPr>
          <w:i/>
          <w:iCs/>
        </w:rPr>
        <w:t>completitud</w:t>
      </w:r>
      <w:r>
        <w:t xml:space="preserve"> (el flujo unificado asegura transferencia íntegra de información). La evolución de HL7 v2 a FHIR que propone esta tesis representa el siguiente paso lógico en esta línea de trabajo.</w:t>
      </w:r>
    </w:p>
    <w:p w14:paraId="68B57371" w14:textId="77777777" w:rsidR="00962712" w:rsidRDefault="00BF4269">
      <w:r>
        <w:rPr>
          <w:b/>
          <w:bCs/>
        </w:rPr>
        <w:t>BAYONA CASTAÑEDA (2019)</w:t>
      </w:r>
      <w:r>
        <w:t xml:space="preserve"> </w:t>
      </w:r>
      <w:r>
        <w:rPr>
          <w:b/>
          <w:bCs/>
        </w:rPr>
        <w:t>Aporte:</w:t>
      </w:r>
      <w:r>
        <w:t xml:space="preserve"> Presenta un diagnóstico estructural de la historia clínica electrónica en el sistema de salud peruano, analizando la evolución normativa y las barreras de implementación del RENHICE. </w:t>
      </w:r>
      <w:r>
        <w:rPr>
          <w:b/>
          <w:bCs/>
        </w:rPr>
        <w:t>Problema:</w:t>
      </w:r>
      <w:r>
        <w:t xml:space="preserve"> Fragmentación entre MINSA y EsSalud, baja conectividad entre establecimientos e implementación desigual de plataformas de HCE a nivel nacional. </w:t>
      </w:r>
      <w:r>
        <w:rPr>
          <w:b/>
          <w:bCs/>
        </w:rPr>
        <w:t>Objetivo:</w:t>
      </w:r>
      <w:r>
        <w:t xml:space="preserve"> Analizar la evolución normativa y las barreras de implementación de la HCE y del Registro Nacional de Historias Clínicas Electrónicas (RENHICE) en Perú. </w:t>
      </w:r>
      <w:r>
        <w:rPr>
          <w:b/>
          <w:bCs/>
        </w:rPr>
        <w:t>Metodología:</w:t>
      </w:r>
      <w:r>
        <w:t xml:space="preserve"> Trabajo de fin de máster con revisión documental y análisis del ecosistema nacional, incluyendo visitas al Hospital Santa Rosa (Piura) y Hospital II de Tarapoto (UPV, Valencia). </w:t>
      </w:r>
      <w:r>
        <w:rPr>
          <w:b/>
          <w:bCs/>
        </w:rPr>
        <w:t>Instrumentos de evaluación:</w:t>
      </w:r>
      <w:r>
        <w:t xml:space="preserve"> Análisis normativo-técnico de la Ley </w:t>
      </w:r>
      <w:proofErr w:type="spellStart"/>
      <w:r>
        <w:t>N°</w:t>
      </w:r>
      <w:proofErr w:type="spellEnd"/>
      <w:r>
        <w:t xml:space="preserve"> 30024, del RENHICE y de experiencias institucionales. Fuentes: documentación regulatoria del MINSA, entrevistas con directores hospitalarios y personal técnico. </w:t>
      </w:r>
      <w:r>
        <w:rPr>
          <w:b/>
          <w:bCs/>
        </w:rPr>
        <w:t>Métricas o indicadores de desempeño:</w:t>
      </w:r>
      <w:r>
        <w:t xml:space="preserve"> Grado de implementación del RENHICE, conectividad entre establecimientos y número de historias clínicas por paciente. </w:t>
      </w:r>
      <w:r>
        <w:rPr>
          <w:b/>
          <w:bCs/>
        </w:rPr>
        <w:t>Resultados:</w:t>
      </w:r>
      <w:r>
        <w:t xml:space="preserve"> Identifica persistencia de múltiples historias clínicas por paciente en distintas instituciones y bajo avance interoperable. Documenta inestabilidad política como barrera y fragmentación entre subsistemas (MINSA, EsSalud, FF. AA., sector privado). </w:t>
      </w:r>
      <w:r>
        <w:rPr>
          <w:b/>
          <w:bCs/>
        </w:rPr>
        <w:t>Limitaciones:</w:t>
      </w:r>
      <w:r>
        <w:t xml:space="preserve"> Estudio descriptivo-analítico sin componente de implementación tecnológica; los datos corresponden </w:t>
      </w:r>
      <w:r>
        <w:lastRenderedPageBreak/>
        <w:t xml:space="preserve">al periodo 2018-2019, previo a las normativas RNIEDS y PIDESALUD. </w:t>
      </w:r>
      <w:r>
        <w:rPr>
          <w:b/>
          <w:bCs/>
        </w:rPr>
        <w:t>Crítica o aporte a la tesis:</w:t>
      </w:r>
      <w:r>
        <w:t xml:space="preserve">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 y justificando la necesidad de diagnóstico actualizado que esta tesis propone.</w:t>
      </w:r>
    </w:p>
    <w:p w14:paraId="141AB3A2" w14:textId="77777777" w:rsidR="00962712" w:rsidRDefault="00BF4269">
      <w:r>
        <w:rPr>
          <w:b/>
          <w:bCs/>
        </w:rPr>
        <w:t>ESPARZA MORGAN (2025)</w:t>
      </w:r>
      <w:r>
        <w:t xml:space="preserve"> </w:t>
      </w:r>
      <w:r>
        <w:rPr>
          <w:b/>
          <w:bCs/>
        </w:rPr>
        <w:t>Aporte:</w:t>
      </w:r>
      <w:r>
        <w:t xml:space="preserve"> Relaciona la madurez de uso de la HCE única con la mejora de indicadores de gestión de calidad en un hospital de EsSalud. </w:t>
      </w:r>
      <w:r>
        <w:rPr>
          <w:b/>
          <w:bCs/>
        </w:rPr>
        <w:t>Problema:</w:t>
      </w:r>
      <w:r>
        <w:t xml:space="preserve"> Desempeño de calidad hospitalaria afectado por una gestión clínica no plenamente digitalizada ni estandarizada. </w:t>
      </w:r>
      <w:r>
        <w:rPr>
          <w:b/>
          <w:bCs/>
        </w:rPr>
        <w:t>Objetivo:</w:t>
      </w:r>
      <w:r>
        <w:t xml:space="preserve"> Medir la influencia de la HCE en las dimensiones de planificación, organización y garantía de servicios de gestión de calidad hospitalaria. </w:t>
      </w:r>
      <w:r>
        <w:rPr>
          <w:b/>
          <w:bCs/>
        </w:rPr>
        <w:t>Metodología:</w:t>
      </w:r>
      <w:r>
        <w:t xml:space="preserve"> Estudio correlacional aplicado en entorno hospitalario peruano (EsSalud). </w:t>
      </w:r>
      <w:r>
        <w:rPr>
          <w:b/>
          <w:bCs/>
        </w:rPr>
        <w:t>Instrumentos de evaluación:</w:t>
      </w:r>
      <w:r>
        <w:t xml:space="preserve"> Indicadores de calidad de gestión (planificación, organización, garantía) y medición de madurez de uso de HCE mediante indicadores cuantitativos. </w:t>
      </w:r>
      <w:r>
        <w:rPr>
          <w:b/>
          <w:bCs/>
        </w:rPr>
        <w:t>Métricas o indicadores de desempeño:</w:t>
      </w:r>
      <w:r>
        <w:t xml:space="preserve"> Coeficientes de correlación entre madurez de HCE y dimensiones de calidad de gestión. </w:t>
      </w:r>
      <w:r>
        <w:rPr>
          <w:b/>
          <w:bCs/>
        </w:rPr>
        <w:t>Resultados:</w:t>
      </w:r>
      <w:r>
        <w:t xml:space="preserve"> Reporta correlaciones positivas estadísticamente significativas; mayor madurez de uso de HCE se asocia con mejor desempeño en planificación, organización y garantía de calidad. </w:t>
      </w:r>
      <w:r>
        <w:rPr>
          <w:b/>
          <w:bCs/>
        </w:rPr>
        <w:t>Limitaciones:</w:t>
      </w:r>
      <w:r>
        <w:t xml:space="preserve"> Estudio en un solo hospital de EsSalud; la generalización a centros del MINSA requiere validación. No aísla el efecto de la interoperabilidad de otros factores de digitalización. </w:t>
      </w:r>
      <w:r>
        <w:rPr>
          <w:b/>
          <w:bCs/>
        </w:rPr>
        <w:t>Crítica o aporte a la tesis:</w:t>
      </w:r>
      <w:r>
        <w:t xml:space="preserve"> Aporta evidencia indirecta sobre </w:t>
      </w:r>
      <w:r>
        <w:rPr>
          <w:i/>
          <w:iCs/>
        </w:rPr>
        <w:t>completitud</w:t>
      </w:r>
      <w:r>
        <w:t xml:space="preserve"> (la HCE única consolida el registro clínico) y refuerza que cerrar brechas de digitalización impacta los indicadores de calidad que esta tesis se propone medir.</w:t>
      </w:r>
    </w:p>
    <w:p w14:paraId="5F6A11CF" w14:textId="77777777" w:rsidR="00962712" w:rsidRDefault="00BF4269">
      <w:r>
        <w:rPr>
          <w:b/>
          <w:bCs/>
        </w:rPr>
        <w:t>ARIAS GERONIMO (2025)</w:t>
      </w:r>
      <w:r>
        <w:t xml:space="preserve"> </w:t>
      </w:r>
      <w:r>
        <w:rPr>
          <w:b/>
          <w:bCs/>
        </w:rPr>
        <w:t>Aporte:</w:t>
      </w:r>
      <w:r>
        <w:t xml:space="preserve"> Evidencia el vínculo entre confiabilidad de la HCE y calidad de los servicios preventivos en una </w:t>
      </w:r>
      <w:proofErr w:type="spellStart"/>
      <w:r>
        <w:t>microred</w:t>
      </w:r>
      <w:proofErr w:type="spellEnd"/>
      <w:r>
        <w:t xml:space="preserve"> de salud pública de primer nivel. </w:t>
      </w:r>
      <w:r>
        <w:rPr>
          <w:b/>
          <w:bCs/>
        </w:rPr>
        <w:t>Problema:</w:t>
      </w:r>
      <w:r>
        <w:t xml:space="preserve"> Inconsistencias de datos y baja disponibilidad del sistema afectan la continuidad y calidad percibida del servicio preventivo. </w:t>
      </w:r>
      <w:r>
        <w:rPr>
          <w:b/>
          <w:bCs/>
        </w:rPr>
        <w:t>Objetivo:</w:t>
      </w:r>
      <w:r>
        <w:t xml:space="preserve"> Determinar la relación entre la calidad del registro electrónico de salud y la prestación efectiva de servicios preventivos en una </w:t>
      </w:r>
      <w:proofErr w:type="spellStart"/>
      <w:r>
        <w:t>microred</w:t>
      </w:r>
      <w:proofErr w:type="spellEnd"/>
      <w:r>
        <w:t xml:space="preserve"> del primer nivel de atención. </w:t>
      </w:r>
      <w:r>
        <w:rPr>
          <w:b/>
          <w:bCs/>
        </w:rPr>
        <w:t>Metodología:</w:t>
      </w:r>
      <w:r>
        <w:t xml:space="preserve"> Estudio correlacional aplicado en una red pública de primer nivel de atención en Perú. </w:t>
      </w:r>
      <w:r>
        <w:rPr>
          <w:b/>
          <w:bCs/>
        </w:rPr>
        <w:t>Instrumentos de evaluación:</w:t>
      </w:r>
      <w:r>
        <w:t xml:space="preserve"> Medición de confiabilidad </w:t>
      </w:r>
      <w:r>
        <w:lastRenderedPageBreak/>
        <w:t xml:space="preserve">del registro electrónico (dimensiones: precisión de datos, disponibilidad del sistema, usabilidad) y evaluación del desempeño en servicios preventivos. </w:t>
      </w:r>
      <w:r>
        <w:rPr>
          <w:b/>
          <w:bCs/>
        </w:rPr>
        <w:t>Métricas o indicadores de desempeño:</w:t>
      </w:r>
      <w:r>
        <w:t xml:space="preserve"> Coeficiente de correlación entre confiabilidad de HCE y desempeño en prestación preventiva; análisis por dimensiones de confiabilidad. </w:t>
      </w:r>
      <w:r>
        <w:rPr>
          <w:b/>
          <w:bCs/>
        </w:rPr>
        <w:t>Resultados:</w:t>
      </w:r>
      <w:r>
        <w:t xml:space="preserve"> Asociación positiva moderada y estadísticamente significativa entre confiabilidad de la HCE y calidad de la prestación preventiva. </w:t>
      </w:r>
      <w:r>
        <w:rPr>
          <w:b/>
          <w:bCs/>
        </w:rPr>
        <w:t>Limitaciones:</w:t>
      </w:r>
      <w:r>
        <w:t xml:space="preserve"> Estudio en una sola </w:t>
      </w:r>
      <w:proofErr w:type="spellStart"/>
      <w:r>
        <w:t>microred</w:t>
      </w:r>
      <w:proofErr w:type="spellEnd"/>
      <w:r>
        <w:t xml:space="preserve">; la correlación no implica causalidad directa. No evalúa interoperabilidad entre establecimientos. </w:t>
      </w:r>
      <w:r>
        <w:rPr>
          <w:b/>
          <w:bCs/>
        </w:rPr>
        <w:t>Crítica o aporte a la tesis:</w:t>
      </w:r>
      <w:r>
        <w:t xml:space="preserve"> Las dimensiones evaluadas —precisión, disponibilidad, usabilidad— se alinean con las brechas de </w:t>
      </w:r>
      <w:r>
        <w:rPr>
          <w:i/>
          <w:iCs/>
        </w:rPr>
        <w:t>completitud</w:t>
      </w:r>
      <w:r>
        <w:t xml:space="preserve"> (datos precisos y completos) y </w:t>
      </w:r>
      <w:r>
        <w:rPr>
          <w:i/>
          <w:iCs/>
        </w:rPr>
        <w:t>codificación</w:t>
      </w:r>
      <w:r>
        <w:t xml:space="preserve"> (estandarización que posibilita confiabilidad), reforzando la pertinencia de diagnosticar estas brechas en establecimientos del primer nivel de atención del MINSA.</w:t>
      </w:r>
    </w:p>
    <w:p w14:paraId="033A28BD" w14:textId="77777777" w:rsidR="00962712" w:rsidRDefault="00BF4269">
      <w:r>
        <w:rPr>
          <w:b/>
          <w:bCs/>
        </w:rPr>
        <w:t>SÁNCHEZ CALLE (2024)</w:t>
      </w:r>
      <w:r>
        <w:t xml:space="preserve"> </w:t>
      </w:r>
      <w:r>
        <w:rPr>
          <w:b/>
          <w:bCs/>
        </w:rPr>
        <w:t>Aporte:</w:t>
      </w:r>
      <w:r>
        <w:t xml:space="preserve"> Formula una arquitectura y requisitos formales para HCE ocupacional con base en las normas internacionales ISO 18308 e ISO 13606. </w:t>
      </w:r>
      <w:r>
        <w:rPr>
          <w:b/>
          <w:bCs/>
        </w:rPr>
        <w:t>Problema:</w:t>
      </w:r>
      <w:r>
        <w:t xml:space="preserve"> Ausencia de requerimientos técnicos estandarizados para el intercambio de información clínica ocupacional en el contexto peruano. </w:t>
      </w:r>
      <w:r>
        <w:rPr>
          <w:b/>
          <w:bCs/>
        </w:rPr>
        <w:t>Objetivo:</w:t>
      </w:r>
      <w:r>
        <w:t xml:space="preserve"> Definir especificaciones formales para la interoperabilidad y sostenibilidad de una HCE ocupacional. </w:t>
      </w:r>
      <w:r>
        <w:rPr>
          <w:b/>
          <w:bCs/>
        </w:rPr>
        <w:t>Metodología:</w:t>
      </w:r>
      <w:r>
        <w:t xml:space="preserve"> Desarrollo de propuesta arquitectónica basada en normas internacionales ISO 18308 (requisitos para arquitectura de HCE) e ISO 13606 (comunicación de HCE). </w:t>
      </w:r>
      <w:r>
        <w:rPr>
          <w:b/>
          <w:bCs/>
        </w:rPr>
        <w:t>Instrumentos de evaluación:</w:t>
      </w:r>
      <w:r>
        <w:t xml:space="preserve"> Trazabilidad de requisitos normativos y evaluación de consistencia del diseño arquitectónico conforme a los estándares ISO aplicados. </w:t>
      </w:r>
      <w:r>
        <w:rPr>
          <w:b/>
          <w:bCs/>
        </w:rPr>
        <w:t>Métricas o indicadores de desempeño:</w:t>
      </w:r>
      <w:r>
        <w:t xml:space="preserve"> Grado de cobertura de requisitos ISO y consistencia de la arquitectura propuesta. </w:t>
      </w:r>
      <w:r>
        <w:rPr>
          <w:b/>
          <w:bCs/>
        </w:rPr>
        <w:t>Resultados:</w:t>
      </w:r>
      <w:r>
        <w:t xml:space="preserve"> Entrega un marco técnico aplicable para el diseño interoperable y gobernable de HCE ocupacional, con requisitos formales alineados a estándares internacionales. </w:t>
      </w:r>
      <w:r>
        <w:rPr>
          <w:b/>
          <w:bCs/>
        </w:rPr>
        <w:t>Limitaciones:</w:t>
      </w:r>
      <w:r>
        <w:t xml:space="preserve"> Propuesta arquitectónica sin implementación ni validación empírica; no evalúa el impacto operativo en un entorno real. </w:t>
      </w:r>
      <w:r>
        <w:rPr>
          <w:b/>
          <w:bCs/>
        </w:rPr>
        <w:t>Crítica o aporte a la tesis:</w:t>
      </w:r>
      <w:r>
        <w:t xml:space="preserve"> Aborda las brechas de </w:t>
      </w:r>
      <w:r>
        <w:rPr>
          <w:i/>
          <w:iCs/>
        </w:rPr>
        <w:t>codificación</w:t>
      </w:r>
      <w:r>
        <w:t xml:space="preserve"> (ISO 13606 normaliza la estructura del registro) y </w:t>
      </w:r>
      <w:r>
        <w:rPr>
          <w:i/>
          <w:iCs/>
        </w:rPr>
        <w:t>completitud</w:t>
      </w:r>
      <w:r>
        <w:t xml:space="preserve"> (requisitos formales aseguran integralidad de campos clínicos), aunque no evalúa su impacto en </w:t>
      </w:r>
      <w:r>
        <w:rPr>
          <w:i/>
          <w:iCs/>
        </w:rPr>
        <w:t>duplicidad</w:t>
      </w:r>
      <w:r>
        <w:t xml:space="preserve"> ni </w:t>
      </w:r>
      <w:r>
        <w:rPr>
          <w:i/>
          <w:iCs/>
        </w:rPr>
        <w:t>trazabilidad</w:t>
      </w:r>
      <w:r>
        <w:t>, dimensiones que esta tesis sí diagnostica.</w:t>
      </w:r>
    </w:p>
    <w:p w14:paraId="69399BC5" w14:textId="77777777" w:rsidR="00962712" w:rsidRDefault="00BF4269">
      <w:r>
        <w:rPr>
          <w:b/>
          <w:bCs/>
        </w:rPr>
        <w:lastRenderedPageBreak/>
        <w:t>FERNÁNDEZ INFANZÓN Y HUARAC CUIZANO (2021)</w:t>
      </w:r>
      <w:r>
        <w:t xml:space="preserve"> </w:t>
      </w:r>
      <w:r>
        <w:rPr>
          <w:b/>
          <w:bCs/>
        </w:rPr>
        <w:t>Aporte:</w:t>
      </w:r>
      <w:r>
        <w:t xml:space="preserve"> Proponen un plan de negocio para integrar IPRESS a una plataforma interoperable de HCE usando </w:t>
      </w:r>
      <w:proofErr w:type="spellStart"/>
      <w:r>
        <w:t>blockchain</w:t>
      </w:r>
      <w:proofErr w:type="spellEnd"/>
      <w:r>
        <w:t xml:space="preserve"> y biometría como habilitadores tecnológicos. </w:t>
      </w:r>
      <w:r>
        <w:rPr>
          <w:b/>
          <w:bCs/>
        </w:rPr>
        <w:t>Problema:</w:t>
      </w:r>
      <w:r>
        <w:t xml:space="preserve"> Barreras de confianza, trazabilidad y coordinación institucional entre prestadores públicos y privados para el intercambio clínico. </w:t>
      </w:r>
      <w:r>
        <w:rPr>
          <w:b/>
          <w:bCs/>
        </w:rPr>
        <w:t>Objetivo:</w:t>
      </w:r>
      <w:r>
        <w:t xml:space="preserve"> Viabilizar la articulación entre prestadores de salud públicos y privados mediante una plataforma interoperable con </w:t>
      </w:r>
      <w:proofErr w:type="spellStart"/>
      <w:r>
        <w:t>blockchain</w:t>
      </w:r>
      <w:proofErr w:type="spellEnd"/>
      <w:r>
        <w:t xml:space="preserve"> y verificación biométrica. </w:t>
      </w:r>
      <w:r>
        <w:rPr>
          <w:b/>
          <w:bCs/>
        </w:rPr>
        <w:t>Metodología:</w:t>
      </w:r>
      <w:r>
        <w:t xml:space="preserve"> Diseño de plan de negocio con enfoque tecnológico y estrategia de adopción </w:t>
      </w:r>
      <w:proofErr w:type="spellStart"/>
      <w:r>
        <w:t>multiactor</w:t>
      </w:r>
      <w:proofErr w:type="spellEnd"/>
      <w:r>
        <w:t xml:space="preserve">, incluyendo análisis de </w:t>
      </w:r>
      <w:proofErr w:type="spellStart"/>
      <w:r>
        <w:t>stakeholders</w:t>
      </w:r>
      <w:proofErr w:type="spellEnd"/>
      <w:r>
        <w:t xml:space="preserve"> del sector salud peruano. </w:t>
      </w:r>
      <w:r>
        <w:rPr>
          <w:b/>
          <w:bCs/>
        </w:rPr>
        <w:t>Instrumentos de evaluación:</w:t>
      </w:r>
      <w:r>
        <w:t xml:space="preserve"> Evaluación de viabilidad técnica y económica, propuesta de modelo operativo y análisis de grupos de interés (MINSA, EsSalud, sector privado, SIS). </w:t>
      </w:r>
      <w:r>
        <w:rPr>
          <w:b/>
          <w:bCs/>
        </w:rPr>
        <w:t>Métricas o indicadores de desempeño:</w:t>
      </w:r>
      <w:r>
        <w:t xml:space="preserve"> Viabilidad económica, cobertura de </w:t>
      </w:r>
      <w:proofErr w:type="spellStart"/>
      <w:r>
        <w:t>stakeholders</w:t>
      </w:r>
      <w:proofErr w:type="spellEnd"/>
      <w:r>
        <w:t xml:space="preserve"> y factibilidad del modelo operativo propuesto. </w:t>
      </w:r>
      <w:r>
        <w:rPr>
          <w:b/>
          <w:bCs/>
        </w:rPr>
        <w:t>Resultados:</w:t>
      </w:r>
      <w:r>
        <w:t xml:space="preserve"> Definen esquema de implementación gradual para interoperabilidad institucional en IPRESS, combinando identificación biométrica única con registro </w:t>
      </w:r>
      <w:proofErr w:type="spellStart"/>
      <w:r>
        <w:t>blockchain</w:t>
      </w:r>
      <w:proofErr w:type="spellEnd"/>
      <w:r>
        <w:t xml:space="preserve"> de transacciones. </w:t>
      </w:r>
      <w:r>
        <w:rPr>
          <w:b/>
          <w:bCs/>
        </w:rPr>
        <w:t>Limitaciones:</w:t>
      </w:r>
      <w:r>
        <w:t xml:space="preserve"> Permanece en nivel de plan de negocio sin implementación técnica ni validación operativa en establecimientos reales. </w:t>
      </w:r>
      <w:r>
        <w:rPr>
          <w:b/>
          <w:bCs/>
        </w:rPr>
        <w:t>Crítica o aporte a la tesis:</w:t>
      </w:r>
      <w:r>
        <w:t xml:space="preserve"> Apunta a reducir </w:t>
      </w:r>
      <w:r>
        <w:rPr>
          <w:i/>
          <w:iCs/>
        </w:rPr>
        <w:t>duplicidad</w:t>
      </w:r>
      <w:r>
        <w:t xml:space="preserve"> (identificación única del paciente con biometría) y a mejorar </w:t>
      </w:r>
      <w:r>
        <w:rPr>
          <w:i/>
          <w:iCs/>
        </w:rPr>
        <w:t>trazabilidad</w:t>
      </w:r>
      <w:r>
        <w:t xml:space="preserve"> (</w:t>
      </w:r>
      <w:proofErr w:type="spellStart"/>
      <w:r>
        <w:t>blockchain</w:t>
      </w:r>
      <w:proofErr w:type="spellEnd"/>
      <w:r>
        <w:t xml:space="preserve"> como registro inmutable), aunque sin validación operativa, dimensiones que esta tesis sí evaluará empíricamente.</w:t>
      </w:r>
    </w:p>
    <w:p w14:paraId="6219CEDA" w14:textId="77777777" w:rsidR="00962712" w:rsidRDefault="00BF4269">
      <w:r>
        <w:rPr>
          <w:b/>
          <w:bCs/>
        </w:rPr>
        <w:t>BRAN ET AL. (2024)</w:t>
      </w:r>
      <w:r>
        <w:t xml:space="preserve"> </w:t>
      </w:r>
      <w:r>
        <w:rPr>
          <w:b/>
          <w:bCs/>
        </w:rPr>
        <w:t>Aporte:</w:t>
      </w:r>
      <w:r>
        <w:t xml:space="preserve"> Integran </w:t>
      </w:r>
      <w:proofErr w:type="spellStart"/>
      <w:r>
        <w:t>blockchain</w:t>
      </w:r>
      <w:proofErr w:type="spellEnd"/>
      <w:r>
        <w:t xml:space="preserve">, IPFS y HL7 para fortalecer la inmutabilidad, auditabilidad y confianza del intercambio de historias clínicas electrónicas. </w:t>
      </w:r>
      <w:r>
        <w:rPr>
          <w:b/>
          <w:bCs/>
        </w:rPr>
        <w:t>Problema:</w:t>
      </w:r>
      <w:r>
        <w:t xml:space="preserve"> Riesgos de manipulación de datos, baja trazabilidad de transacciones y confianza limitada entre los actores de ecosistemas interoperables. </w:t>
      </w:r>
      <w:r>
        <w:rPr>
          <w:b/>
          <w:bCs/>
        </w:rPr>
        <w:t>Objetivo:</w:t>
      </w:r>
      <w:r>
        <w:t xml:space="preserve"> Mejorar la inmutabilidad, auditabilidad y confianza sobre el flujo de datos clínicos compartidos entre establecimientos. </w:t>
      </w:r>
      <w:r>
        <w:rPr>
          <w:b/>
          <w:bCs/>
        </w:rPr>
        <w:t>Metodología:</w:t>
      </w:r>
      <w:r>
        <w:t xml:space="preserve"> Diseño de arquitectura híbrida que combina HL7 con </w:t>
      </w:r>
      <w:proofErr w:type="spellStart"/>
      <w:r>
        <w:t>blockchain</w:t>
      </w:r>
      <w:proofErr w:type="spellEnd"/>
      <w:r>
        <w:t xml:space="preserve"> e IPFS (</w:t>
      </w:r>
      <w:proofErr w:type="spellStart"/>
      <w:r>
        <w:t>InterPlanetary</w:t>
      </w:r>
      <w:proofErr w:type="spellEnd"/>
      <w:r>
        <w:t xml:space="preserve"> File </w:t>
      </w:r>
      <w:proofErr w:type="spellStart"/>
      <w:r>
        <w:t>System</w:t>
      </w:r>
      <w:proofErr w:type="spellEnd"/>
      <w:r>
        <w:t xml:space="preserve">) y evaluación funcional de interoperabilidad segura. </w:t>
      </w:r>
      <w:r>
        <w:rPr>
          <w:b/>
          <w:bCs/>
        </w:rPr>
        <w:t>Instrumentos de evaluación:</w:t>
      </w:r>
      <w:r>
        <w:t xml:space="preserve"> Pruebas de integridad de datos, trazabilidad de transacciones en la cadena de bloques y consistencia del intercambio entre componentes del sistema. </w:t>
      </w:r>
      <w:r>
        <w:rPr>
          <w:b/>
          <w:bCs/>
        </w:rPr>
        <w:t>Métricas o indicadores de desempeño:</w:t>
      </w:r>
      <w:r>
        <w:t xml:space="preserve"> Integridad de datos intercambiados, trazabilidad completa de cada transacción y consistencia del intercambio. </w:t>
      </w:r>
      <w:r>
        <w:rPr>
          <w:b/>
          <w:bCs/>
        </w:rPr>
        <w:t>Resultados:</w:t>
      </w:r>
      <w:r>
        <w:t xml:space="preserve"> </w:t>
      </w:r>
      <w:r>
        <w:lastRenderedPageBreak/>
        <w:t xml:space="preserve">Evidencian mejora en auditabilidad e integridad al combinar HL7 con </w:t>
      </w:r>
      <w:proofErr w:type="spellStart"/>
      <w:r>
        <w:t>blockchain</w:t>
      </w:r>
      <w:proofErr w:type="spellEnd"/>
      <w:r>
        <w:t xml:space="preserve">/IPFS; cada transacción clínica queda registrada de forma inmutable en la cadena de bloques. </w:t>
      </w:r>
      <w:r>
        <w:rPr>
          <w:b/>
          <w:bCs/>
        </w:rPr>
        <w:t>Limitaciones:</w:t>
      </w:r>
      <w:r>
        <w:t xml:space="preserve"> Evaluación funcional sin despliegue en entorno hospitalario real; la escalabilidad de </w:t>
      </w:r>
      <w:proofErr w:type="spellStart"/>
      <w:r>
        <w:t>blockchain</w:t>
      </w:r>
      <w:proofErr w:type="spellEnd"/>
      <w:r>
        <w:t xml:space="preserve"> en producción con alto volumen de transacciones no se evalúa. </w:t>
      </w:r>
      <w:r>
        <w:rPr>
          <w:b/>
          <w:bCs/>
        </w:rPr>
        <w:t>Crítica o aporte a la tesis:</w:t>
      </w:r>
      <w:r>
        <w:t xml:space="preserve"> Apunta centralmente a la brecha de </w:t>
      </w:r>
      <w:r>
        <w:rPr>
          <w:i/>
          <w:iCs/>
        </w:rPr>
        <w:t>trazabilidad</w:t>
      </w:r>
      <w:r>
        <w:t xml:space="preserve"> (registro inmutable de cada transacción clínica) y de </w:t>
      </w:r>
      <w:r>
        <w:rPr>
          <w:i/>
          <w:iCs/>
        </w:rPr>
        <w:t>duplicidad</w:t>
      </w:r>
      <w:r>
        <w:t xml:space="preserve"> (IPFS evita copias redundantes), brechas que esta tesis diagnostica con métricas operativas en centros MINSA.</w:t>
      </w:r>
    </w:p>
    <w:p w14:paraId="13215C76" w14:textId="77777777" w:rsidR="00962712" w:rsidRDefault="00BF4269">
      <w:r>
        <w:rPr>
          <w:b/>
          <w:bCs/>
        </w:rPr>
        <w:t>MORALES-CAMARGO Y MENESES-CLAUDIO (2023)</w:t>
      </w:r>
      <w:r>
        <w:t xml:space="preserve"> </w:t>
      </w:r>
      <w:r>
        <w:rPr>
          <w:b/>
          <w:bCs/>
        </w:rPr>
        <w:t>Aporte:</w:t>
      </w:r>
      <w:r>
        <w:t xml:space="preserve"> Sintetizan el impacto del registro médico electrónico (EMR) en la atención y gestión sanitaria a partir de una revisión de la literatura reciente. </w:t>
      </w:r>
      <w:r>
        <w:rPr>
          <w:b/>
          <w:bCs/>
        </w:rPr>
        <w:t>Problema:</w:t>
      </w:r>
      <w:r>
        <w:t xml:space="preserve"> Adopción desigual de EMR entre establecimientos de salud y brechas persistentes de estandarización y capacitación del personal. </w:t>
      </w:r>
      <w:r>
        <w:rPr>
          <w:b/>
          <w:bCs/>
        </w:rPr>
        <w:t>Objetivo:</w:t>
      </w:r>
      <w:r>
        <w:t xml:space="preserve"> Evaluar los beneficios y barreras de implementación de EMR en la evidencia publicada entre 2013 y 2023. </w:t>
      </w:r>
      <w:r>
        <w:rPr>
          <w:b/>
          <w:bCs/>
        </w:rPr>
        <w:t>Metodología:</w:t>
      </w:r>
      <w:r>
        <w:t xml:space="preserve"> Revisión sistemática de la literatura del periodo 2013-2023. </w:t>
      </w:r>
      <w:r>
        <w:rPr>
          <w:b/>
          <w:bCs/>
        </w:rPr>
        <w:t>Instrumentos de evaluación:</w:t>
      </w:r>
      <w:r>
        <w:t xml:space="preserve"> Búsqueda estructurada en bases de datos y análisis comparativo de resultados reportados sobre impacto de EMR en atención clínica. </w:t>
      </w:r>
      <w:r>
        <w:rPr>
          <w:b/>
          <w:bCs/>
        </w:rPr>
        <w:t>Métricas o indicadores de desempeño:</w:t>
      </w:r>
      <w:r>
        <w:t xml:space="preserve"> Beneficios reportados (acceso a información, soporte a decisión clínica, eficiencia) y barreras identificadas (adopción, estandarización, capacitación). </w:t>
      </w:r>
      <w:r>
        <w:rPr>
          <w:b/>
          <w:bCs/>
        </w:rPr>
        <w:t>Resultados:</w:t>
      </w:r>
      <w:r>
        <w:t xml:space="preserve"> Reportan mejoras consistentes en acceso a información, soporte a la decisión clínica y eficiencia operativa; sin embargo, las barreras de adopción —capacitación insuficiente, resistencia al cambio, heterogeneidad de formatos— persisten en múltiples contextos. </w:t>
      </w:r>
      <w:r>
        <w:rPr>
          <w:b/>
          <w:bCs/>
        </w:rPr>
        <w:t>Limitaciones:</w:t>
      </w:r>
      <w:r>
        <w:t xml:space="preserve"> La revisión no incluye estudios peruanos específicos; la generalización al contexto del MINSA requiere contextualización. </w:t>
      </w:r>
      <w:r>
        <w:rPr>
          <w:b/>
          <w:bCs/>
        </w:rPr>
        <w:t>Crítica o aporte a la tesis:</w:t>
      </w:r>
      <w:r>
        <w:t xml:space="preserve"> Confirma que las barreras de estandarización inciden en </w:t>
      </w:r>
      <w:r>
        <w:rPr>
          <w:i/>
          <w:iCs/>
        </w:rPr>
        <w:t>codificación</w:t>
      </w:r>
      <w:r>
        <w:t xml:space="preserve"> (heterogeneidad de formatos) y que la adopción desigual perpetúa brechas de </w:t>
      </w:r>
      <w:r>
        <w:rPr>
          <w:i/>
          <w:iCs/>
        </w:rPr>
        <w:t>completitud</w:t>
      </w:r>
      <w:r>
        <w:t xml:space="preserve"> (campos clínicos incompletos), hallazgos convergentes con el contexto peruano que esta tesis busca diagnosticar operativamente.</w:t>
      </w:r>
    </w:p>
    <w:p w14:paraId="01E4D77D" w14:textId="77777777" w:rsidR="00962712" w:rsidRDefault="00BF4269">
      <w:pPr>
        <w:pStyle w:val="Ttulo3"/>
      </w:pPr>
      <w:bookmarkStart w:id="54" w:name="síntesis-crítica-de-antecedentes"/>
      <w:bookmarkStart w:id="55" w:name="_Toc225890741"/>
      <w:bookmarkEnd w:id="52"/>
      <w:r>
        <w:t>2.1.3. Síntesis crítica de antecedentes</w:t>
      </w:r>
      <w:bookmarkEnd w:id="55"/>
    </w:p>
    <w:p w14:paraId="432B87DD" w14:textId="77777777" w:rsidR="00962712" w:rsidRDefault="00BF4269">
      <w:r>
        <w:t>La revisión internacional y nacional muestra convergencia en cuatro hallazgos articulados con las dimensiones de calidad que esta tesis propone evaluar.</w:t>
      </w:r>
    </w:p>
    <w:p w14:paraId="7807FEA1" w14:textId="77777777" w:rsidR="00962712" w:rsidRDefault="00BF4269">
      <w:r>
        <w:rPr>
          <w:b/>
          <w:bCs/>
        </w:rPr>
        <w:lastRenderedPageBreak/>
        <w:t xml:space="preserve">Primero, FHIR como estándar articulador del intercambio y su vínculo con la </w:t>
      </w:r>
      <w:r>
        <w:rPr>
          <w:b/>
          <w:bCs/>
          <w:i/>
          <w:iCs/>
        </w:rPr>
        <w:t>consistencia</w:t>
      </w:r>
      <w:r>
        <w:rPr>
          <w:b/>
          <w:bCs/>
        </w:rPr>
        <w:t xml:space="preserve"> del dato clínico.</w:t>
      </w:r>
      <w:r>
        <w:t xml:space="preserve"> Existe consenso sobre FHIR como eje técnico del intercambio (Vorisek et al., 2022; </w:t>
      </w:r>
      <w:proofErr w:type="spellStart"/>
      <w:r>
        <w:t>Torab-Miandoab</w:t>
      </w:r>
      <w:proofErr w:type="spellEnd"/>
      <w:r>
        <w:t xml:space="preserve"> et al., 2023; Tabari et al., 2024), pero su efectividad depende de perfiles, terminologías y reglas de implementación consistentes (Kramer y </w:t>
      </w:r>
      <w:proofErr w:type="spellStart"/>
      <w:r>
        <w:t>Moesel</w:t>
      </w:r>
      <w:proofErr w:type="spellEnd"/>
      <w:r>
        <w:t>, 2023; Chatterjee et al., 2022; Monsen et al., 2023). Cuando los perfiles FHIR no son uniformes, los datos intercambiados pierden consistencia semántica entre emisor y receptor —dimensión que esta tesis medirá como indicador operativo—.</w:t>
      </w:r>
    </w:p>
    <w:p w14:paraId="65C0530F" w14:textId="77777777" w:rsidR="00962712" w:rsidRDefault="00BF4269">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al., 2025; Raab et al., 2023). Gaudet-</w:t>
      </w:r>
      <w:proofErr w:type="spellStart"/>
      <w:r>
        <w:t>Blavignac</w:t>
      </w:r>
      <w:proofErr w:type="spellEnd"/>
      <w:r>
        <w:t xml:space="preserve"> et al. (2021) demuestran </w:t>
      </w:r>
      <w:proofErr w:type="gramStart"/>
      <w:r>
        <w:t>que</w:t>
      </w:r>
      <w:proofErr w:type="gramEnd"/>
      <w:r>
        <w:t xml:space="preserve"> sin una estrategia semántica coordinada a escala nacional, los datos clínicos no están disponibles para uso secundario. La disponibilidad del intercambio —porcentaje de transacciones FHIR exitosas sobre el total esperado— es un indicador clave que la presente investigación evaluará antes y después de la intervención.</w:t>
      </w:r>
    </w:p>
    <w:p w14:paraId="1E3F47EF" w14:textId="77777777" w:rsidR="00962712" w:rsidRDefault="00BF4269">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Castañeda, 2019; Mauricio et al., 2024; Porras Gamarra, 2024; Arrué Pajares y Vargas Rioja, 2022). Esparza Morgan (2025) y Arias Geronimo (2025) aportan evidencia correlacional de que la madurez y confiabilidad de la HCE inciden en la calidad del servicio, pero ninguno mide directamente la integridad de los datos intercambiados ni la completitud de los campos clínicos obligatorios. Morales-Camargo y Meneses-Claudio (2023) confirman que la adopción desigual de EMR perpetúa campos clínicos incompletos, hallazgo convergente con el contexto peruano que esta tesis busca diagnosticar.</w:t>
      </w:r>
    </w:p>
    <w:p w14:paraId="7CB75B5C" w14:textId="77777777" w:rsidR="00962712" w:rsidRDefault="00BF4269">
      <w:r>
        <w:rPr>
          <w:b/>
          <w:bCs/>
        </w:rPr>
        <w:t xml:space="preserve">Cuarto, trazabilidad y </w:t>
      </w:r>
      <w:r>
        <w:rPr>
          <w:b/>
          <w:bCs/>
          <w:i/>
          <w:iCs/>
        </w:rPr>
        <w:t>continuidad</w:t>
      </w:r>
      <w:r>
        <w:rPr>
          <w:b/>
          <w:bCs/>
        </w:rPr>
        <w:t xml:space="preserve"> del dato a lo largo del circuito clínico.</w:t>
      </w:r>
      <w:r>
        <w:t xml:space="preserve"> Las propuestas de </w:t>
      </w:r>
      <w:proofErr w:type="spellStart"/>
      <w:r>
        <w:t>blockchain</w:t>
      </w:r>
      <w:proofErr w:type="spellEnd"/>
      <w:r>
        <w:t xml:space="preserve"> aplicadas a la interoperabilidad (Bran et al., 2024; Fernández Infanzón y </w:t>
      </w:r>
      <w:proofErr w:type="spellStart"/>
      <w:r>
        <w:t>Huarac</w:t>
      </w:r>
      <w:proofErr w:type="spellEnd"/>
      <w:r>
        <w:t xml:space="preserve"> Cuizano, 2021; Mauricio et al., 2024) abordan la trazabilidad transaccional, pero no evalúan la continuidad del dato clínico desde el registro inicial hasta su recuperación por otro establecimiento. La continuidad —</w:t>
      </w:r>
      <w:r>
        <w:lastRenderedPageBreak/>
        <w:t>entendida como la preservación del registro a lo largo del circuito de atención— constituye un indicador que diferencia esta tesis de las propuestas nacionales existentes.</w:t>
      </w:r>
    </w:p>
    <w:p w14:paraId="2138D9D3" w14:textId="77777777" w:rsidR="00962712" w:rsidRDefault="00BF4269">
      <w:r>
        <w:t xml:space="preserve">En términos de brecha de investigación, aún son escasos los estudios nacionales que integren en un mismo diseño: (a) diagnóstico estructurado de brechas de completitud, codificación, duplicidad y trazabilidad; (b) implementación técnica alineada a HL7 FHIR; y (c) evaluación </w:t>
      </w:r>
      <w:proofErr w:type="spellStart"/>
      <w:r>
        <w:t>pre-post</w:t>
      </w:r>
      <w:proofErr w:type="spellEnd"/>
      <w:r>
        <w:t xml:space="preserve"> con indicadores de integridad, consistencia, disponibilidad y continuidad del intercambio clínico. Esta brecha justifica el enfoque trifásico de la presente tesis y orienta su aporte incremental frente al estado del arte.</w:t>
      </w:r>
    </w:p>
    <w:p w14:paraId="1D0941CE" w14:textId="77777777" w:rsidR="00962712" w:rsidRDefault="00BF4269">
      <w:r>
        <w:t xml:space="preserve">A nivel regulatorio, Perú cuenta con el marco normativo específico emitido por el MINSA: la RM </w:t>
      </w:r>
      <w:proofErr w:type="spellStart"/>
      <w:r>
        <w:t>N°</w:t>
      </w:r>
      <w:proofErr w:type="spellEnd"/>
      <w:r>
        <w:t xml:space="preserve"> 1104-2018-MINSA que establece la Infraestructura de Estándares de Datos en Salud (IEDS), la RM </w:t>
      </w:r>
      <w:proofErr w:type="spellStart"/>
      <w:r>
        <w:t>N°</w:t>
      </w:r>
      <w:proofErr w:type="spellEnd"/>
      <w:r>
        <w:t xml:space="preserve"> 464-2019-MINSA que define la Red Nacional de Interoperabilidad en Datos de Salud (RNIEDS), y la RM </w:t>
      </w:r>
      <w:proofErr w:type="spellStart"/>
      <w:r>
        <w:t>N°</w:t>
      </w:r>
      <w:proofErr w:type="spellEnd"/>
      <w:r>
        <w:t xml:space="preserve"> 1193-2019-MINSA que regula la Plataforma de Interoperabilidad de Datos Estándares de Salud (PIDESALUD). Sin embargo, la implementación operativa de estas normativas permanece incompleta y heterogénea entre establecimientos, como lo muestran los diagnósticos nacionales recientes (Bayona Castañeda, 2019; Mauricio et al., 2024; Esparza Morgan, 2025; Arias Geronimo, 2025).</w:t>
      </w:r>
    </w:p>
    <w:p w14:paraId="072E40A0" w14:textId="77777777" w:rsidR="00962712" w:rsidRDefault="00BF4269">
      <w:pPr>
        <w:pStyle w:val="Ttulo2"/>
      </w:pPr>
      <w:bookmarkStart w:id="56" w:name="bases-teóricas"/>
      <w:bookmarkStart w:id="57" w:name="_Toc225890742"/>
      <w:bookmarkEnd w:id="48"/>
      <w:bookmarkEnd w:id="54"/>
      <w:r>
        <w:t>2.2. Bases teóricas</w:t>
      </w:r>
      <w:bookmarkEnd w:id="57"/>
    </w:p>
    <w:p w14:paraId="1471E3DD" w14:textId="77777777" w:rsidR="00962712" w:rsidRDefault="00BF4269">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703F4F6D" w14:textId="77777777" w:rsidR="00962712" w:rsidRDefault="00BF4269">
      <w:pPr>
        <w:pStyle w:val="Ttulo3"/>
      </w:pPr>
      <w:bookmarkStart w:id="58" w:name="desarrollo-histórico"/>
      <w:bookmarkStart w:id="59" w:name="_Toc225890743"/>
      <w:r>
        <w:t>2.2.1. Desarrollo histórico</w:t>
      </w:r>
      <w:bookmarkEnd w:id="59"/>
    </w:p>
    <w:p w14:paraId="47D70700" w14:textId="77777777" w:rsidR="00962712" w:rsidRDefault="00BF4269">
      <w:r>
        <w:t xml:space="preserve">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w:t>
      </w:r>
      <w:r>
        <w:lastRenderedPageBreak/>
        <w:t xml:space="preserve">avanzaron a través de estándares centrados en documentos como CDA y CCD, y más recientemente han migrado hacia la interoperabilidad basada en </w:t>
      </w:r>
      <w:proofErr w:type="spellStart"/>
      <w:r>
        <w:t>APIs</w:t>
      </w:r>
      <w:proofErr w:type="spellEnd"/>
      <w:r>
        <w:t xml:space="preserve">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1F347553" w14:textId="77777777" w:rsidR="00962712" w:rsidRDefault="00BF4269">
      <w:r>
        <w:t xml:space="preserve">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w:t>
      </w:r>
      <w:proofErr w:type="spellStart"/>
      <w:r>
        <w:t>European</w:t>
      </w:r>
      <w:proofErr w:type="spellEnd"/>
      <w:r>
        <w:t xml:space="preserve"> Health Data Space (EHDS) para empoderar a los ciudadanos a acceder a sus datos de salud y compartirlos con médicos.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w:t>
      </w:r>
      <w:proofErr w:type="spellStart"/>
      <w:r>
        <w:t>openEHR</w:t>
      </w:r>
      <w:proofErr w:type="spellEnd"/>
      <w:r>
        <w:t xml:space="preserve"> en Cataluña.</w:t>
      </w:r>
    </w:p>
    <w:p w14:paraId="3A85C154" w14:textId="77777777" w:rsidR="00962712" w:rsidRDefault="00BF4269">
      <w:r>
        <w:rPr>
          <w:noProof/>
        </w:rPr>
        <w:drawing>
          <wp:inline distT="0" distB="0" distL="0" distR="0" wp14:anchorId="6E870388" wp14:editId="4C9F67E6">
            <wp:extent cx="5562600" cy="1056675"/>
            <wp:effectExtent l="0" t="0" r="0" b="0"/>
            <wp:docPr id="71" name="Picture" descr="Evolución de estándares de interoperabilidad clínica"/>
            <wp:cNvGraphicFramePr/>
            <a:graphic xmlns:a="http://schemas.openxmlformats.org/drawingml/2006/main">
              <a:graphicData uri="http://schemas.openxmlformats.org/drawingml/2006/picture">
                <pic:pic xmlns:pic="http://schemas.openxmlformats.org/drawingml/2006/picture">
                  <pic:nvPicPr>
                    <pic:cNvPr id="72" name="Picture" descr="media/diagrama-evolucion-estandares.png"/>
                    <pic:cNvPicPr>
                      <a:picLocks noChangeAspect="1" noChangeArrowheads="1"/>
                    </pic:cNvPicPr>
                  </pic:nvPicPr>
                  <pic:blipFill>
                    <a:blip r:embed="rId14"/>
                    <a:stretch>
                      <a:fillRect/>
                    </a:stretch>
                  </pic:blipFill>
                  <pic:spPr bwMode="auto">
                    <a:xfrm>
                      <a:off x="0" y="0"/>
                      <a:ext cx="5562600" cy="1056675"/>
                    </a:xfrm>
                    <a:prstGeom prst="rect">
                      <a:avLst/>
                    </a:prstGeom>
                    <a:noFill/>
                    <a:ln w="9525">
                      <a:noFill/>
                      <a:headEnd/>
                      <a:tailEnd/>
                    </a:ln>
                  </pic:spPr>
                </pic:pic>
              </a:graphicData>
            </a:graphic>
          </wp:inline>
        </w:drawing>
      </w:r>
    </w:p>
    <w:p w14:paraId="385674A1" w14:textId="5357F07C" w:rsidR="00962712" w:rsidRDefault="00BF4269">
      <w:pPr>
        <w:jc w:val="center"/>
      </w:pPr>
      <w:bookmarkStart w:id="60" w:name="_Toc225890362"/>
      <w:r>
        <w:rPr>
          <w:i/>
          <w:sz w:val="20"/>
        </w:rPr>
        <w:t xml:space="preserve">Figura </w:t>
      </w:r>
      <w:fldSimple w:instr=" SEQ Figure \* ARABIC ">
        <w:r w:rsidR="00F45D69">
          <w:rPr>
            <w:noProof/>
          </w:rPr>
          <w:t>7</w:t>
        </w:r>
      </w:fldSimple>
      <w:r>
        <w:rPr>
          <w:i/>
          <w:sz w:val="20"/>
        </w:rPr>
        <w:t>. Evolución de estándares de interoperabilidad clínica</w:t>
      </w:r>
      <w:bookmarkEnd w:id="60"/>
    </w:p>
    <w:p w14:paraId="67C51868" w14:textId="77777777" w:rsidR="00962712" w:rsidRDefault="00BF4269">
      <w:pPr>
        <w:jc w:val="center"/>
      </w:pPr>
      <w:r>
        <w:rPr>
          <w:i/>
          <w:iCs/>
          <w:sz w:val="20"/>
        </w:rPr>
        <w:lastRenderedPageBreak/>
        <w:t>Nota.</w:t>
      </w:r>
      <w:r>
        <w:rPr>
          <w:sz w:val="20"/>
        </w:rPr>
        <w:t xml:space="preserve"> Elaboración propia basada en Surisetty (2026) y Amar et al. (2024).</w:t>
      </w:r>
    </w:p>
    <w:p w14:paraId="0F463868" w14:textId="77777777" w:rsidR="00962712" w:rsidRDefault="00BF4269">
      <w:pPr>
        <w:pStyle w:val="Ttulo3"/>
      </w:pPr>
      <w:bookmarkStart w:id="61" w:name="fundamentación-teórica"/>
      <w:bookmarkStart w:id="62" w:name="_Toc225890744"/>
      <w:bookmarkEnd w:id="58"/>
      <w:r>
        <w:t>2.2.2. Fundamentación teórica</w:t>
      </w:r>
      <w:bookmarkEnd w:id="62"/>
    </w:p>
    <w:p w14:paraId="13EEB378" w14:textId="77777777" w:rsidR="00962712" w:rsidRDefault="00BF4269">
      <w:r>
        <w:t>La fundamentación teórica de esta investigación se organiza en torno a cuatro enfoques teóricos que proporcionan la base para analizar la interoperabilidad de datos clínicos en sistemas de salud pública y evaluar el impacto de una intervención tecnológica basada en estándares: la Teoría General de Sistemas, el Enfoque Sociotécnico, la Teoría de Difusión de Innovaciones y el Modelo de Calidad de Datos. Cada uno de estos marcos ofrece una perspectiva complementaria. La Teoría General de Sistemas fundamenta la concepción de la interoperabilidad como propiedad emergente de un sistema de salud articulado; el Enfoque Sociotécnico justifica por qué la implementación tecnológica debe integrarse con componentes organizacionales y humanos; la Teoría de Difusión de Innovaciones explica los patrones de adopción de FHIR y las barreras institucionales; y el Modelo de Calidad de Datos sustenta las dimensiones e indicadores de la variable dependiente.</w:t>
      </w:r>
    </w:p>
    <w:p w14:paraId="4767B339" w14:textId="77777777" w:rsidR="00962712" w:rsidRDefault="00BF4269">
      <w:r>
        <w:rPr>
          <w:noProof/>
        </w:rPr>
        <w:drawing>
          <wp:inline distT="0" distB="0" distL="0" distR="0" wp14:anchorId="1A61C730" wp14:editId="34232DBE">
            <wp:extent cx="5562600" cy="1840763"/>
            <wp:effectExtent l="0" t="0" r="0" b="0"/>
            <wp:docPr id="75" name="Picture" descr="Enfoques teóricos que sustentan la investigación"/>
            <wp:cNvGraphicFramePr/>
            <a:graphic xmlns:a="http://schemas.openxmlformats.org/drawingml/2006/main">
              <a:graphicData uri="http://schemas.openxmlformats.org/drawingml/2006/picture">
                <pic:pic xmlns:pic="http://schemas.openxmlformats.org/drawingml/2006/picture">
                  <pic:nvPicPr>
                    <pic:cNvPr id="76" name="Picture" descr="media/diagrama-fundamentacion-teorica.png"/>
                    <pic:cNvPicPr>
                      <a:picLocks noChangeAspect="1" noChangeArrowheads="1"/>
                    </pic:cNvPicPr>
                  </pic:nvPicPr>
                  <pic:blipFill>
                    <a:blip r:embed="rId15"/>
                    <a:stretch>
                      <a:fillRect/>
                    </a:stretch>
                  </pic:blipFill>
                  <pic:spPr bwMode="auto">
                    <a:xfrm>
                      <a:off x="0" y="0"/>
                      <a:ext cx="5562600" cy="1840763"/>
                    </a:xfrm>
                    <a:prstGeom prst="rect">
                      <a:avLst/>
                    </a:prstGeom>
                    <a:noFill/>
                    <a:ln w="9525">
                      <a:noFill/>
                      <a:headEnd/>
                      <a:tailEnd/>
                    </a:ln>
                  </pic:spPr>
                </pic:pic>
              </a:graphicData>
            </a:graphic>
          </wp:inline>
        </w:drawing>
      </w:r>
    </w:p>
    <w:p w14:paraId="7053671F" w14:textId="1FB9DA97" w:rsidR="00962712" w:rsidRDefault="00BF4269">
      <w:pPr>
        <w:jc w:val="center"/>
      </w:pPr>
      <w:bookmarkStart w:id="63" w:name="_Toc225890363"/>
      <w:r>
        <w:rPr>
          <w:i/>
          <w:sz w:val="20"/>
        </w:rPr>
        <w:t xml:space="preserve">Figura </w:t>
      </w:r>
      <w:fldSimple w:instr=" SEQ Figure \* ARABIC ">
        <w:r w:rsidR="00F45D69">
          <w:rPr>
            <w:noProof/>
          </w:rPr>
          <w:t>8</w:t>
        </w:r>
      </w:fldSimple>
      <w:r>
        <w:rPr>
          <w:i/>
          <w:sz w:val="20"/>
        </w:rPr>
        <w:t>. Enfoques teóricos que sustentan la investigación</w:t>
      </w:r>
      <w:bookmarkEnd w:id="63"/>
    </w:p>
    <w:p w14:paraId="4AA81329" w14:textId="77777777" w:rsidR="00962712" w:rsidRDefault="00BF4269">
      <w:pPr>
        <w:jc w:val="center"/>
      </w:pPr>
      <w:r>
        <w:rPr>
          <w:i/>
          <w:iCs/>
          <w:sz w:val="20"/>
        </w:rPr>
        <w:t>Nota.</w:t>
      </w:r>
      <w:r>
        <w:rPr>
          <w:sz w:val="20"/>
        </w:rPr>
        <w:t xml:space="preserve"> Elaboración propia.</w:t>
      </w:r>
    </w:p>
    <w:p w14:paraId="2CF3F253" w14:textId="77777777" w:rsidR="00962712" w:rsidRDefault="00BF4269">
      <w:bookmarkStart w:id="64" w:name="teoría-general-de-sistemas"/>
      <w:r>
        <w:t>Teoría General de Sistemas</w:t>
      </w:r>
    </w:p>
    <w:p w14:paraId="25A4193E" w14:textId="77777777" w:rsidR="00962712" w:rsidRDefault="00BF4269">
      <w:r>
        <w:t xml:space="preserve">La Teoría General de Sistemas (TGS), propuesta por Ludwig </w:t>
      </w:r>
      <w:proofErr w:type="spellStart"/>
      <w:r>
        <w:t>von</w:t>
      </w:r>
      <w:proofErr w:type="spellEnd"/>
      <w:r>
        <w:t xml:space="preserve"> Bertalanffy (1968), sostiene que los sistemas son conjuntos organizados de elementos interrelacionados que interactúan entre sí y con su entorno para lograr un propósito. Un principio central de la TGS es que las propiedades del todo no pueden deducirse de las propiedades de las partes aisladas: la interacción entre componentes genera </w:t>
      </w:r>
      <w:r>
        <w:lastRenderedPageBreak/>
        <w:t xml:space="preserve">propiedades emergentes. En el contexto de esta investigación, el sistema de salud peruano se concibe como un sistema complejo donde los establecimientos del MINSA, EsSalud y el sector privado constituyen subsistemas que deberían intercambiar información para lograr una atención integral. La interoperabilidad clínica es, desde esta perspectiva, una propiedad emergente que solo se manifiesta cuando los subsistemas (HIS, HCE, sistemas de laboratorio, farmacia) están efectivamente articulados. Bayona Castañeda (2019) documentó que la fragmentación MINSA-EsSalud impide esta articulación, lo que desde la TGS se interpreta como un sistema desarticulado cuyas partes operan como entidades aisladas. La TGS también introduce el concepto de retroalimentación: los resultados del sistema informan ajustes en los procesos y las entradas. El diseño </w:t>
      </w:r>
      <w:proofErr w:type="spellStart"/>
      <w:r>
        <w:t>pre-experimental</w:t>
      </w:r>
      <w:proofErr w:type="spellEnd"/>
      <w:r>
        <w:t xml:space="preserve"> O₁ → X → O₂ de esta tesis operacionaliza este principio: la medición de línea base (O₁) diagnostica el estado actual, la intervención FHIR (X) modifica los procesos de intercambio, y la medición post (O₂) evalúa si el sistema mejoró. Los cuatro niveles de interoperabilidad propuestos por HIMSS pueden interpretarse como capas sistémicas que deben funcionar coordinadamente para que la propiedad emergente del intercambio clínico efectivo se materialice.</w:t>
      </w:r>
    </w:p>
    <w:p w14:paraId="2369371E" w14:textId="77777777" w:rsidR="00962712" w:rsidRDefault="00BF4269">
      <w:r>
        <w:rPr>
          <w:b/>
          <w:bCs/>
        </w:rPr>
        <w:t>Niveles de interoperabilidad.</w:t>
      </w:r>
      <w:r>
        <w:t xml:space="preserve"> La </w:t>
      </w:r>
      <w:proofErr w:type="spellStart"/>
      <w:r>
        <w:t>Healthcare</w:t>
      </w:r>
      <w:proofErr w:type="spellEnd"/>
      <w:r>
        <w:t xml:space="preserve"> </w:t>
      </w:r>
      <w:proofErr w:type="spellStart"/>
      <w:r>
        <w:t>Information</w:t>
      </w:r>
      <w:proofErr w:type="spellEnd"/>
      <w:r>
        <w:t xml:space="preserve"> and Management </w:t>
      </w:r>
      <w:proofErr w:type="spellStart"/>
      <w:r>
        <w:t>Systems</w:t>
      </w:r>
      <w:proofErr w:type="spellEnd"/>
      <w:r>
        <w:t xml:space="preserve"> </w:t>
      </w:r>
      <w:proofErr w:type="spellStart"/>
      <w:r>
        <w:t>Society</w:t>
      </w:r>
      <w:proofErr w:type="spellEnd"/>
      <w:r>
        <w:t xml:space="preserve">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facilitan la comunicación segura y oportuna de datos (Amar et al., 2024). La OPS (2024) sintetiza que para lograr la interoperabilidad deben resolverse la interoperabilidad técnica (transferencia fiable) y la interoperabilidad semántica (comprensión mutua).</w:t>
      </w:r>
    </w:p>
    <w:p w14:paraId="16743A57" w14:textId="77777777" w:rsidR="00962712" w:rsidRDefault="00BF4269">
      <w:r>
        <w:rPr>
          <w:noProof/>
        </w:rPr>
        <w:lastRenderedPageBreak/>
        <w:drawing>
          <wp:inline distT="0" distB="0" distL="0" distR="0" wp14:anchorId="449E996E" wp14:editId="1370EEC6">
            <wp:extent cx="5562600" cy="6128657"/>
            <wp:effectExtent l="0" t="0" r="0" b="0"/>
            <wp:docPr id="78" name="Picture" descr="Niveles de interoperabilidad en salud según HIMSS"/>
            <wp:cNvGraphicFramePr/>
            <a:graphic xmlns:a="http://schemas.openxmlformats.org/drawingml/2006/main">
              <a:graphicData uri="http://schemas.openxmlformats.org/drawingml/2006/picture">
                <pic:pic xmlns:pic="http://schemas.openxmlformats.org/drawingml/2006/picture">
                  <pic:nvPicPr>
                    <pic:cNvPr id="79" name="Picture" descr="media/diagrama-niveles-interoperabilidad.png"/>
                    <pic:cNvPicPr>
                      <a:picLocks noChangeAspect="1" noChangeArrowheads="1"/>
                    </pic:cNvPicPr>
                  </pic:nvPicPr>
                  <pic:blipFill>
                    <a:blip r:embed="rId16"/>
                    <a:stretch>
                      <a:fillRect/>
                    </a:stretch>
                  </pic:blipFill>
                  <pic:spPr bwMode="auto">
                    <a:xfrm>
                      <a:off x="0" y="0"/>
                      <a:ext cx="5562600" cy="6128657"/>
                    </a:xfrm>
                    <a:prstGeom prst="rect">
                      <a:avLst/>
                    </a:prstGeom>
                    <a:noFill/>
                    <a:ln w="9525">
                      <a:noFill/>
                      <a:headEnd/>
                      <a:tailEnd/>
                    </a:ln>
                  </pic:spPr>
                </pic:pic>
              </a:graphicData>
            </a:graphic>
          </wp:inline>
        </w:drawing>
      </w:r>
    </w:p>
    <w:p w14:paraId="03EED72D" w14:textId="03F9EB23" w:rsidR="00962712" w:rsidRDefault="00BF4269">
      <w:pPr>
        <w:jc w:val="center"/>
      </w:pPr>
      <w:bookmarkStart w:id="65" w:name="_Toc225890364"/>
      <w:r>
        <w:rPr>
          <w:i/>
          <w:sz w:val="20"/>
        </w:rPr>
        <w:t xml:space="preserve">Figura </w:t>
      </w:r>
      <w:fldSimple w:instr=" SEQ Figure \* ARABIC ">
        <w:r w:rsidR="00F45D69">
          <w:rPr>
            <w:noProof/>
          </w:rPr>
          <w:t>9</w:t>
        </w:r>
      </w:fldSimple>
      <w:r>
        <w:rPr>
          <w:i/>
          <w:sz w:val="20"/>
        </w:rPr>
        <w:t>. Niveles de interoperabilidad en salud según HIMSS</w:t>
      </w:r>
      <w:bookmarkEnd w:id="65"/>
    </w:p>
    <w:p w14:paraId="7CC19C55" w14:textId="77777777" w:rsidR="00962712" w:rsidRDefault="00BF4269">
      <w:pPr>
        <w:jc w:val="center"/>
      </w:pPr>
      <w:r>
        <w:rPr>
          <w:i/>
          <w:iCs/>
          <w:sz w:val="20"/>
        </w:rPr>
        <w:t>Nota.</w:t>
      </w:r>
      <w:r>
        <w:rPr>
          <w:sz w:val="20"/>
        </w:rPr>
        <w:t xml:space="preserve"> Elaboración propia basada en HIMSS (como se citó en Amar et al., 2024) y OPS (2024).</w:t>
      </w:r>
    </w:p>
    <w:p w14:paraId="2A97518E" w14:textId="77777777" w:rsidR="00962712" w:rsidRDefault="00BF4269">
      <w:r>
        <w:rPr>
          <w:b/>
          <w:bCs/>
        </w:rPr>
        <w:t>HL7 FHIR.</w:t>
      </w:r>
      <w:r>
        <w:t xml:space="preserve"> FHIR adopta un enfoque modular donde la información granular se representa como entidades modulares independientes llamadas “</w:t>
      </w:r>
      <w:proofErr w:type="spellStart"/>
      <w:r>
        <w:t>Resources</w:t>
      </w:r>
      <w:proofErr w:type="spellEnd"/>
      <w:r>
        <w:t xml:space="preserve">”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w:t>
      </w:r>
      <w:r>
        <w:lastRenderedPageBreak/>
        <w:t xml:space="preserve">mayoría de casos de uso clínico, superando la impredecibilidad inherente del sector salud sin incrementar costos y complejidad progresivamente. Las </w:t>
      </w:r>
      <w:proofErr w:type="spellStart"/>
      <w:r>
        <w:t>APIs</w:t>
      </w:r>
      <w:proofErr w:type="spellEnd"/>
      <w:r>
        <w:t xml:space="preserve"> </w:t>
      </w:r>
      <w:proofErr w:type="spellStart"/>
      <w:r>
        <w:t>RESTful</w:t>
      </w:r>
      <w:proofErr w:type="spellEnd"/>
      <w:r>
        <w:t xml:space="preserve"> y los servicios web generan, gestionan y distribuyen estos recursos (Pimenta et al., 2023).</w:t>
      </w:r>
    </w:p>
    <w:p w14:paraId="0A2084FD" w14:textId="77777777" w:rsidR="00962712" w:rsidRDefault="00BF4269">
      <w:r>
        <w:rPr>
          <w:b/>
          <w:bCs/>
        </w:rPr>
        <w:t>Perfiles e Guías de Implementación FHIR.</w:t>
      </w:r>
      <w:r>
        <w:t xml:space="preserve"> FHIR puede adaptarse a diferentes casos de uso mediante la creación de perfiles (</w:t>
      </w:r>
      <w:proofErr w:type="spellStart"/>
      <w:r>
        <w:t>profiles</w:t>
      </w:r>
      <w:proofErr w:type="spellEnd"/>
      <w:r>
        <w:t xml:space="preserve">), donde los tipos de recursos base se modifican. La descripción general de cómo usar FHIR para un caso de uso se proporciona mediante una Guía de Implementación (IG). Kramer y </w:t>
      </w:r>
      <w:proofErr w:type="spellStart"/>
      <w:r>
        <w:t>Moesel</w:t>
      </w:r>
      <w:proofErr w:type="spellEnd"/>
      <w:r>
        <w:t xml:space="preserve"> (2023) señalan que la comunidad FHIR ha creado cientos de </w:t>
      </w:r>
      <w:proofErr w:type="spellStart"/>
      <w:r>
        <w:t>IGs</w:t>
      </w:r>
      <w:proofErr w:type="spellEnd"/>
      <w:r>
        <w:t xml:space="preserve"> y miles de perfiles, utilizando varias versiones de FHIR, y que aplicaciones que siguen diferentes </w:t>
      </w:r>
      <w:proofErr w:type="spellStart"/>
      <w:r>
        <w:t>IGs</w:t>
      </w:r>
      <w:proofErr w:type="spellEnd"/>
      <w:r>
        <w:t xml:space="preserve"> pueden no ser capaces de interoperar. Estos autores propusieron el método FHIR </w:t>
      </w:r>
      <w:proofErr w:type="spellStart"/>
      <w:r>
        <w:t>Interoperability</w:t>
      </w:r>
      <w:proofErr w:type="spellEnd"/>
      <w:r>
        <w:t xml:space="preserve"> Table (FHIT) para evaluar la interoperabilidad entre clientes y servidores que soportan diferentes recursos, perfiles y versiones.</w:t>
      </w:r>
    </w:p>
    <w:p w14:paraId="1C9A8D91" w14:textId="77777777" w:rsidR="00962712" w:rsidRDefault="00BF4269">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7035BB3B" w14:textId="77777777" w:rsidR="00962712" w:rsidRDefault="00BF4269">
      <w:r>
        <w:rPr>
          <w:noProof/>
        </w:rPr>
        <w:lastRenderedPageBreak/>
        <w:drawing>
          <wp:inline distT="0" distB="0" distL="0" distR="0" wp14:anchorId="6E84E54A" wp14:editId="7B5D2D08">
            <wp:extent cx="5562600" cy="5238368"/>
            <wp:effectExtent l="0" t="0" r="0" b="0"/>
            <wp:docPr id="81" name="Picture" descr="Recursos FHIR principales y sus relaciones"/>
            <wp:cNvGraphicFramePr/>
            <a:graphic xmlns:a="http://schemas.openxmlformats.org/drawingml/2006/main">
              <a:graphicData uri="http://schemas.openxmlformats.org/drawingml/2006/picture">
                <pic:pic xmlns:pic="http://schemas.openxmlformats.org/drawingml/2006/picture">
                  <pic:nvPicPr>
                    <pic:cNvPr id="82" name="Picture" descr="media/diagrama-recursos-fhir.png"/>
                    <pic:cNvPicPr>
                      <a:picLocks noChangeAspect="1" noChangeArrowheads="1"/>
                    </pic:cNvPicPr>
                  </pic:nvPicPr>
                  <pic:blipFill>
                    <a:blip r:embed="rId17"/>
                    <a:stretch>
                      <a:fillRect/>
                    </a:stretch>
                  </pic:blipFill>
                  <pic:spPr bwMode="auto">
                    <a:xfrm>
                      <a:off x="0" y="0"/>
                      <a:ext cx="5562600" cy="5238368"/>
                    </a:xfrm>
                    <a:prstGeom prst="rect">
                      <a:avLst/>
                    </a:prstGeom>
                    <a:noFill/>
                    <a:ln w="9525">
                      <a:noFill/>
                      <a:headEnd/>
                      <a:tailEnd/>
                    </a:ln>
                  </pic:spPr>
                </pic:pic>
              </a:graphicData>
            </a:graphic>
          </wp:inline>
        </w:drawing>
      </w:r>
    </w:p>
    <w:p w14:paraId="585CB22E" w14:textId="713CD16D" w:rsidR="00962712" w:rsidRDefault="00BF4269">
      <w:pPr>
        <w:jc w:val="center"/>
      </w:pPr>
      <w:bookmarkStart w:id="66" w:name="_Toc225890365"/>
      <w:r>
        <w:rPr>
          <w:i/>
          <w:sz w:val="20"/>
        </w:rPr>
        <w:t xml:space="preserve">Figura </w:t>
      </w:r>
      <w:fldSimple w:instr=" SEQ Figure \* ARABIC ">
        <w:r w:rsidR="00F45D69">
          <w:rPr>
            <w:noProof/>
          </w:rPr>
          <w:t>10</w:t>
        </w:r>
      </w:fldSimple>
      <w:r>
        <w:rPr>
          <w:i/>
          <w:sz w:val="20"/>
        </w:rPr>
        <w:t>. Recursos FHIR principales y sus relaciones</w:t>
      </w:r>
      <w:bookmarkEnd w:id="66"/>
    </w:p>
    <w:p w14:paraId="772C7057" w14:textId="77777777" w:rsidR="00962712" w:rsidRDefault="00BF4269">
      <w:pPr>
        <w:jc w:val="center"/>
      </w:pPr>
      <w:r>
        <w:rPr>
          <w:i/>
          <w:iCs/>
          <w:sz w:val="20"/>
        </w:rPr>
        <w:t>Nota.</w:t>
      </w:r>
      <w:r>
        <w:rPr>
          <w:sz w:val="20"/>
        </w:rPr>
        <w:t xml:space="preserve"> Elaboración propia basada en HL7 International (2019) y Pimenta et al. (2023).</w:t>
      </w:r>
    </w:p>
    <w:p w14:paraId="7EDEAD71" w14:textId="77777777" w:rsidR="00962712" w:rsidRDefault="00BF4269">
      <w:bookmarkStart w:id="67" w:name="enfoque-sociotécnico"/>
      <w:bookmarkEnd w:id="64"/>
      <w:r>
        <w:t>Enfoque Sociotécnico</w:t>
      </w:r>
    </w:p>
    <w:p w14:paraId="3FB0C15C" w14:textId="77777777" w:rsidR="00962712" w:rsidRDefault="00BF4269">
      <w:r>
        <w:t xml:space="preserve">El Enfoque Sociotécnico, originado en los estudios del Tavistock </w:t>
      </w:r>
      <w:proofErr w:type="spellStart"/>
      <w:r>
        <w:t>Institute</w:t>
      </w:r>
      <w:proofErr w:type="spellEnd"/>
      <w:r>
        <w:t xml:space="preserve"> (Emery y Trist, 1960) y aplicado a los sistemas de información por Bostrom y Heinen (1977), postula que los sistemas de información integran un componente técnico (hardware, software, estándares, redes) y un componente social (personas, procesos organizacionales, cultura institucional, estructuras de gobernanza). La optimización del sistema requiere el diseño conjunto de ambos componentes; intervenir solo el técnico o solo el social produce resultados subóptimos. </w:t>
      </w:r>
      <w:proofErr w:type="spellStart"/>
      <w:r>
        <w:t>Fernandez</w:t>
      </w:r>
      <w:proofErr w:type="spellEnd"/>
      <w:r>
        <w:t xml:space="preserve"> et al. (2025) identificaron que la combinación de estándares técnicos con procesos </w:t>
      </w:r>
      <w:r>
        <w:lastRenderedPageBreak/>
        <w:t>organizacionales y gobernanza sostenida es condición necesaria para el impacto de la interoperabilidad; esta triada corresponde exactamente a la integración sociotécnica. Holmgren et al. (2023) refuerzan que la priorización gubernamental y los arreglos institucionales son factores críticos que trascienden la infraestructura técnica. En la presente investigación, el Enfoque Sociotécnico se materializa en la consideración conjunta del componente técnico (estándares HL7 FHIR, servidor piloto), el organizacional (gobernanza RNIEDS/PIDESALUD, acuerdos institucionales, procesos de validación SIS) y el humano (capacitación del personal operativo, barreras de adopción). La Fase 1 de diagnóstico evalúa no solo infraestructura técnica sino también cumplimiento normativo y capacidad operativa, y la Fase 3 mide tanto indicadores técnicos (completitud, codificación) como indicadores de proceso (tiempo de validación administrativa).</w:t>
      </w:r>
    </w:p>
    <w:p w14:paraId="7AF6C341" w14:textId="77777777" w:rsidR="00962712" w:rsidRDefault="00BF4269">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w:t>
      </w:r>
    </w:p>
    <w:p w14:paraId="67AD96D6" w14:textId="77777777" w:rsidR="00962712" w:rsidRDefault="00BF4269">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w:t>
      </w:r>
      <w:proofErr w:type="spellStart"/>
      <w:r>
        <w:t>Adelusi</w:t>
      </w:r>
      <w:proofErr w:type="spellEnd"/>
      <w:r>
        <w:t xml:space="preserve"> et al. (2025) demostraron que un </w:t>
      </w:r>
      <w:proofErr w:type="spellStart"/>
      <w:r>
        <w:t>framework</w:t>
      </w:r>
      <w:proofErr w:type="spellEnd"/>
      <w:r>
        <w:t xml:space="preserve"> federado basado en FHIR reduce significativamente el riesgo de brechas de datos al no transferir datos crudos. Este enfoque es particularmente relevante para redes de múltiples hospitales con plataformas EHR heterogéneas.</w:t>
      </w:r>
    </w:p>
    <w:p w14:paraId="09808442" w14:textId="77777777" w:rsidR="00962712" w:rsidRDefault="00BF4269">
      <w:proofErr w:type="spellStart"/>
      <w:r>
        <w:rPr>
          <w:b/>
          <w:bCs/>
        </w:rPr>
        <w:t>Blockchain</w:t>
      </w:r>
      <w:proofErr w:type="spellEnd"/>
      <w:r>
        <w:rPr>
          <w:b/>
          <w:bCs/>
        </w:rPr>
        <w:t xml:space="preserve">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w:t>
      </w:r>
      <w:r>
        <w:lastRenderedPageBreak/>
        <w:t xml:space="preserve">la viabilidad de combinar </w:t>
      </w:r>
      <w:proofErr w:type="spellStart"/>
      <w:r>
        <w:t>blockchain</w:t>
      </w:r>
      <w:proofErr w:type="spellEnd"/>
      <w:r>
        <w:t xml:space="preserve"> con FHIR para garantizar seguridad y privacidad en el intercambio de EHR en Perú.</w:t>
      </w:r>
    </w:p>
    <w:p w14:paraId="225E9CC3" w14:textId="77777777" w:rsidR="00962712" w:rsidRDefault="00BF4269">
      <w:bookmarkStart w:id="68" w:name="teoría-de-difusión-de-innovaciones"/>
      <w:bookmarkEnd w:id="67"/>
      <w:r>
        <w:t>Teoría de Difusión de Innovaciones</w:t>
      </w:r>
    </w:p>
    <w:p w14:paraId="22B0B4F1" w14:textId="77777777" w:rsidR="00962712" w:rsidRDefault="00BF4269">
      <w:r>
        <w:t>La Teoría de Difusión de Innovaciones de Everett Rogers (2003) explica cómo las nuevas tecnologías se difunden a través de los sistemas sociales, identificando cinco atributos que determinan la tasa de adopción: ventaja relativa, compatibilidad, complejidad, posibilidad de prueba (</w:t>
      </w:r>
      <w:proofErr w:type="spellStart"/>
      <w:r>
        <w:rPr>
          <w:i/>
          <w:iCs/>
        </w:rPr>
        <w:t>trialability</w:t>
      </w:r>
      <w:proofErr w:type="spellEnd"/>
      <w:r>
        <w:t xml:space="preserve">) y </w:t>
      </w:r>
      <w:proofErr w:type="spellStart"/>
      <w:r>
        <w:t>observabilidad</w:t>
      </w:r>
      <w:proofErr w:type="spellEnd"/>
      <w:r>
        <w:t xml:space="preserve"> de resultados. HL7 FHIR constituye una innovación tecnológica cuya adopción en el sistema de salud peruano se encuentra en etapas tempranas. Liu et al. (2023) documentaron la ventaja relativa de FHIR sobre estándares previos (reducción de tiempos y costos de transformación); Mauricio et al. (2024) validaron su compatibilidad con sistemas legados (integración sin reemplazo); y Holmgren et al. (2023) y Morales-Camargo y Meneses-Claudio (2023) identificaron que la complejidad técnica y las barreras de capacitación ralentizan la adopción, lo que desde la teoría de Rogers se interpreta como un factor inhibidor que requiere estrategias de reducción de complejidad. La Fase 2 (piloto) de esta investigación operacionaliza la </w:t>
      </w:r>
      <w:proofErr w:type="spellStart"/>
      <w:r>
        <w:rPr>
          <w:i/>
          <w:iCs/>
        </w:rPr>
        <w:t>trialability</w:t>
      </w:r>
      <w:proofErr w:type="spellEnd"/>
      <w:r>
        <w:t xml:space="preserve">, permitiendo evaluar resultados sin comprometer todo el sistema, estrategia coherente con la adopción incremental recomendada por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Vorisek et al. (2022) documentaron que la adopción científica de FHIR tardó cinco años desde la publicación del estándar, lo que confirma la progresividad del proceso de difusión descrito por Rogers.</w:t>
      </w:r>
    </w:p>
    <w:p w14:paraId="701A3BB1" w14:textId="77777777" w:rsidR="00962712" w:rsidRDefault="00BF4269">
      <w:r>
        <w:rPr>
          <w:b/>
          <w:bCs/>
        </w:rPr>
        <w:t>Enfoques híbridos y escalabilidad de implementación.</w:t>
      </w:r>
      <w:r>
        <w:t xml:space="preserve"> Pedrera-Jiménez et al. (2023) sostienen que </w:t>
      </w:r>
      <w:proofErr w:type="spellStart"/>
      <w:r>
        <w:t>OpenEHR</w:t>
      </w:r>
      <w:proofErr w:type="spellEnd"/>
      <w:r>
        <w:t xml:space="preserve">, ISO 13606 y FHIR no deben tratarse como opciones excluyentes, sino como componentes complementarios de una arquitectura por capas. Surisetty (2026) y Liu et al. (2023) agregan que la escalabilidad técnica mejora cuando se definen rutas de transformación explícitas (documento-API) y se sustituyen componentes de alto acoplamiento por servicios FHIR nativos. En paralelo,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muestran que, en contextos de recursos limitados, el éxito depende de combinar decisiones arquitectónicas con capacidades operativas de despliegue progresivo.</w:t>
      </w:r>
    </w:p>
    <w:p w14:paraId="3970F3B5" w14:textId="77777777" w:rsidR="00962712" w:rsidRDefault="00BF4269">
      <w:bookmarkStart w:id="69" w:name="modelo-de-calidad-de-datos"/>
      <w:bookmarkEnd w:id="68"/>
      <w:r>
        <w:lastRenderedPageBreak/>
        <w:t>Modelo de Calidad de Datos</w:t>
      </w:r>
    </w:p>
    <w:p w14:paraId="3D422AB7" w14:textId="77777777" w:rsidR="00962712" w:rsidRDefault="00BF4269">
      <w:r>
        <w:t xml:space="preserve">Wang y Strong (1996) establecieron un marco seminal para la calidad de datos que identifica cuatro categorías: intrínseca (precisión, objetividad), contextual (relevancia, completitud, oportunidad), representacional (interpretabilidad, facilidad de comprensión) y de accesibilidad (disponibilidad, seguridad de acceso). Este modelo ha sido ampliado por DAMA International (2017), que define la calidad de datos como el grado en que los datos son adecuados para su uso previsto en operaciones, toma de decisiones y planificación, reconociendo dimensiones como completitud, consistencia, oportunidad, validez, unicidad e integridad. En esta investigación, el Modelo de Calidad de Datos fundamenta directamente la variable dependiente y sus cuatro dimensiones operativas: (a) </w:t>
      </w:r>
      <w:r>
        <w:rPr>
          <w:i/>
          <w:iCs/>
        </w:rPr>
        <w:t>integridad</w:t>
      </w:r>
      <w:r>
        <w:t xml:space="preserve">, alineada con la categoría contextual de Wang y Strong; (b) </w:t>
      </w:r>
      <w:r>
        <w:rPr>
          <w:i/>
          <w:iCs/>
        </w:rPr>
        <w:t>consistencia</w:t>
      </w:r>
      <w:r>
        <w:t xml:space="preserve">, correspondiente a la categoría representacional; (c) </w:t>
      </w:r>
      <w:r>
        <w:rPr>
          <w:i/>
          <w:iCs/>
        </w:rPr>
        <w:t>disponibilidad</w:t>
      </w:r>
      <w:r>
        <w:t xml:space="preserve">, vinculada a la categoría de accesibilidad; y (d) </w:t>
      </w:r>
      <w:r>
        <w:rPr>
          <w:i/>
          <w:iCs/>
        </w:rPr>
        <w:t>continuidad</w:t>
      </w:r>
      <w:r>
        <w:t>, que integra la integridad referencial propuesta por DAMA.</w:t>
      </w:r>
    </w:p>
    <w:p w14:paraId="2E6D7EA8" w14:textId="77777777" w:rsidR="00962712" w:rsidRDefault="00BF4269">
      <w:r>
        <w:rPr>
          <w:b/>
          <w:bCs/>
        </w:rPr>
        <w:t>Calidad de datos clínicos en entornos interoperables.</w:t>
      </w:r>
      <w:r>
        <w:t xml:space="preserve"> La calidad de los datos clínicos constituye un requisito previo y un resultado esperado de la interoperabilidad: un sistema puede ser técnicamente </w:t>
      </w:r>
      <w:proofErr w:type="gramStart"/>
      <w:r>
        <w:t>interoperable</w:t>
      </w:r>
      <w:proofErr w:type="gramEnd"/>
      <w:r>
        <w:t xml:space="preserve"> pero producir intercambios inútiles si los datos transmitidos son incompletos, inconsistentes o no trazables. Las dimensiones de calidad de datos en salud se agrupan comúnmente en cuatro categorías operativas que esta tesis adopta como indicadores de evaluación:</w:t>
      </w:r>
    </w:p>
    <w:p w14:paraId="39A0B425" w14:textId="77777777" w:rsidR="00962712" w:rsidRDefault="00BF4269">
      <w:pPr>
        <w:numPr>
          <w:ilvl w:val="0"/>
          <w:numId w:val="62"/>
        </w:numPr>
      </w:pPr>
      <w:r>
        <w:rPr>
          <w:i/>
          <w:iCs/>
        </w:rPr>
        <w:t>Integridad (completitud):</w:t>
      </w:r>
      <w:r>
        <w:t xml:space="preserve"> Proporción de campos clínicos obligatorios efectivamente registrados respecto al total esperado según los perfiles FHIR definidos. Gaudet-</w:t>
      </w:r>
      <w:proofErr w:type="spellStart"/>
      <w:r>
        <w:t>Blavignac</w:t>
      </w:r>
      <w:proofErr w:type="spellEnd"/>
      <w:r>
        <w:t xml:space="preserve"> et al. (2021) advierten </w:t>
      </w:r>
      <w:proofErr w:type="gramStart"/>
      <w:r>
        <w:t>que</w:t>
      </w:r>
      <w:proofErr w:type="gramEnd"/>
      <w:r>
        <w:t xml:space="preserve"> sin una estrategia semántica coordinada, los registros clínicos presentan tasas altas de campos vacíos o mal estructurados que invalidan su reutilización. En el contexto peruano, Arias Geronimo (2025) documentó que la precisión y disponibilidad de los datos en HCE del primer nivel influyen directamente en la calidad de prestaciones preventivas, y Morales-Camargo y Meneses-Claudio (2023) confirmaron que la adopción desigual de registros médicos electrónicos perpetúa campos clínicos incompletos.</w:t>
      </w:r>
    </w:p>
    <w:p w14:paraId="652BC35C" w14:textId="77777777" w:rsidR="00962712" w:rsidRDefault="00BF4269">
      <w:pPr>
        <w:numPr>
          <w:ilvl w:val="0"/>
          <w:numId w:val="62"/>
        </w:numPr>
      </w:pPr>
      <w:r>
        <w:rPr>
          <w:i/>
          <w:iCs/>
        </w:rPr>
        <w:lastRenderedPageBreak/>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w:t>
      </w:r>
      <w:proofErr w:type="spellStart"/>
      <w:r>
        <w:t>Torab-Miandoab</w:t>
      </w:r>
      <w:proofErr w:type="spellEnd"/>
      <w:r>
        <w:t xml:space="preserve"> et al. (2023) y Kramer y </w:t>
      </w:r>
      <w:proofErr w:type="spellStart"/>
      <w:r>
        <w:t>Moesel</w:t>
      </w:r>
      <w:proofErr w:type="spellEnd"/>
      <w:r>
        <w:t xml:space="preserve"> (2023) refuerzan que la variabilidad de perfiles FHIR y versiones de guías de implementación es la principal fuente de inconsistencia en ecosistemas </w:t>
      </w:r>
      <w:proofErr w:type="spellStart"/>
      <w:r>
        <w:t>multi-institucionales</w:t>
      </w:r>
      <w:proofErr w:type="spellEnd"/>
      <w:r>
        <w:t>.</w:t>
      </w:r>
    </w:p>
    <w:p w14:paraId="5AF28B0B" w14:textId="77777777" w:rsidR="00962712" w:rsidRDefault="00BF4269">
      <w:pPr>
        <w:numPr>
          <w:ilvl w:val="0"/>
          <w:numId w:val="62"/>
        </w:numPr>
      </w:pPr>
      <w:r>
        <w:rPr>
          <w:i/>
          <w:iCs/>
        </w:rPr>
        <w:t>Disponibilidad (del intercambio):</w:t>
      </w:r>
      <w:r>
        <w:t xml:space="preserve"> Porcentaje de transacciones FHIR exitosas respecto al total programado en un periodo determinado. Richwine et al. (2025) encontraron que la participación en una HIO incrementa </w:t>
      </w:r>
      <w:proofErr w:type="spellStart"/>
      <w:r>
        <w:t>significatiamente</w:t>
      </w:r>
      <w:proofErr w:type="spellEnd"/>
      <w:r>
        <w:t xml:space="preserv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establecimientos del MINSA, produciendo una heterogeneidad que compromete la disponibilidad continua del intercambio.</w:t>
      </w:r>
    </w:p>
    <w:p w14:paraId="25CD110B" w14:textId="77777777" w:rsidR="00962712" w:rsidRDefault="00BF4269">
      <w:pPr>
        <w:numPr>
          <w:ilvl w:val="0"/>
          <w:numId w:val="62"/>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w:t>
      </w:r>
      <w:proofErr w:type="spellStart"/>
      <w:r>
        <w:t>Adelusi</w:t>
      </w:r>
      <w:proofErr w:type="spellEnd"/>
      <w:r>
        <w:t xml:space="preserve"> et al. (2025) validaron métricas de integridad de datos en </w:t>
      </w:r>
      <w:proofErr w:type="spellStart"/>
      <w:r>
        <w:t>frameworks</w:t>
      </w:r>
      <w:proofErr w:type="spellEnd"/>
      <w:r>
        <w:t xml:space="preserve"> federados FHIR, confirmando que la arquitectura de intercambio debe preservar la trazabilidad transaccional para que el dato sea confiable en cada punto de consumo. Bran et al. (2024) y Fernández Infanzón y </w:t>
      </w:r>
      <w:proofErr w:type="spellStart"/>
      <w:r>
        <w:t>Huarac</w:t>
      </w:r>
      <w:proofErr w:type="spellEnd"/>
      <w:r>
        <w:t xml:space="preserve"> </w:t>
      </w:r>
      <w:proofErr w:type="spellStart"/>
      <w:r>
        <w:t>Cuizano</w:t>
      </w:r>
      <w:proofErr w:type="spellEnd"/>
      <w:r>
        <w:t xml:space="preserve"> (2021) proponen complementar FHIR con </w:t>
      </w:r>
      <w:proofErr w:type="spellStart"/>
      <w:r>
        <w:t>blockchain</w:t>
      </w:r>
      <w:proofErr w:type="spellEnd"/>
      <w:r>
        <w:t xml:space="preserve"> para registros inmutables de acceso, aunque estas propuestas se encuentran en fase conceptual sin evaluación operativa.</w:t>
      </w:r>
    </w:p>
    <w:p w14:paraId="4713A9FD" w14:textId="77777777" w:rsidR="00962712" w:rsidRDefault="00BF4269">
      <w:r>
        <w:t xml:space="preserve">Estas cuatro dimensiones convergen con los indicadores de la variable dependiente operacionalizados en el Capítulo III y con las brechas diagnósticas </w:t>
      </w:r>
      <w:r>
        <w:lastRenderedPageBreak/>
        <w:t xml:space="preserve">definidas en la formulación del problema (completitud, codificación, duplicidad, trazabilidad). La presente investigación las emplea como criterios de comparación </w:t>
      </w:r>
      <w:proofErr w:type="spellStart"/>
      <w:r>
        <w:t>pre-post</w:t>
      </w:r>
      <w:proofErr w:type="spellEnd"/>
      <w:r>
        <w:t xml:space="preserve"> para evaluar el efecto de la capa de integración FHIR.</w:t>
      </w:r>
    </w:p>
    <w:p w14:paraId="586D2454" w14:textId="77777777" w:rsidR="00962712" w:rsidRDefault="00BF4269">
      <w:pPr>
        <w:pStyle w:val="Ttulo3"/>
      </w:pPr>
      <w:bookmarkStart w:id="70" w:name="marco-conceptual"/>
      <w:bookmarkStart w:id="71" w:name="_Toc225890745"/>
      <w:bookmarkEnd w:id="61"/>
      <w:bookmarkEnd w:id="69"/>
      <w:r>
        <w:t>2.2.3. Marco conceptual</w:t>
      </w:r>
      <w:bookmarkEnd w:id="71"/>
    </w:p>
    <w:p w14:paraId="6E17870D" w14:textId="77777777" w:rsidR="00962712" w:rsidRDefault="00BF4269">
      <w:r>
        <w:t>El marco conceptual de esta investigación se construye a partir de la fundamentación teórica y organiza las variables, sus dimensiones e indicadores en una estructura que guía la recolección y el análisis de datos. El estudio establece que la implementación del modelo de interoperabilidad basado en HL7 FHIR (variable independiente) mejora la calidad del intercambio de información clínica (variable dependiente), cuyas brechas actuales constituyen el problema de investigación.</w:t>
      </w:r>
    </w:p>
    <w:p w14:paraId="17A4E414" w14:textId="77777777" w:rsidR="00962712" w:rsidRDefault="00BF4269">
      <w:r>
        <w:rPr>
          <w:noProof/>
        </w:rPr>
        <w:drawing>
          <wp:inline distT="0" distB="0" distL="0" distR="0" wp14:anchorId="40959480" wp14:editId="456ED16F">
            <wp:extent cx="5562600" cy="2135933"/>
            <wp:effectExtent l="0" t="0" r="0" b="0"/>
            <wp:docPr id="89" name="Picture" descr="Marco conceptual de la investigación"/>
            <wp:cNvGraphicFramePr/>
            <a:graphic xmlns:a="http://schemas.openxmlformats.org/drawingml/2006/main">
              <a:graphicData uri="http://schemas.openxmlformats.org/drawingml/2006/picture">
                <pic:pic xmlns:pic="http://schemas.openxmlformats.org/drawingml/2006/picture">
                  <pic:nvPicPr>
                    <pic:cNvPr id="90" name="Picture" descr="media/diagrama-marco-conceptual.png"/>
                    <pic:cNvPicPr>
                      <a:picLocks noChangeAspect="1" noChangeArrowheads="1"/>
                    </pic:cNvPicPr>
                  </pic:nvPicPr>
                  <pic:blipFill>
                    <a:blip r:embed="rId18"/>
                    <a:stretch>
                      <a:fillRect/>
                    </a:stretch>
                  </pic:blipFill>
                  <pic:spPr bwMode="auto">
                    <a:xfrm>
                      <a:off x="0" y="0"/>
                      <a:ext cx="5562600" cy="2135933"/>
                    </a:xfrm>
                    <a:prstGeom prst="rect">
                      <a:avLst/>
                    </a:prstGeom>
                    <a:noFill/>
                    <a:ln w="9525">
                      <a:noFill/>
                      <a:headEnd/>
                      <a:tailEnd/>
                    </a:ln>
                  </pic:spPr>
                </pic:pic>
              </a:graphicData>
            </a:graphic>
          </wp:inline>
        </w:drawing>
      </w:r>
    </w:p>
    <w:p w14:paraId="2BCE8B8A" w14:textId="3AD19394" w:rsidR="00962712" w:rsidRDefault="00BF4269">
      <w:pPr>
        <w:jc w:val="center"/>
      </w:pPr>
      <w:bookmarkStart w:id="72" w:name="_Toc225890366"/>
      <w:r>
        <w:rPr>
          <w:i/>
          <w:sz w:val="20"/>
        </w:rPr>
        <w:t xml:space="preserve">Figura </w:t>
      </w:r>
      <w:fldSimple w:instr=" SEQ Figure \* ARABIC ">
        <w:r w:rsidR="00F45D69">
          <w:rPr>
            <w:noProof/>
          </w:rPr>
          <w:t>11</w:t>
        </w:r>
      </w:fldSimple>
      <w:r>
        <w:rPr>
          <w:i/>
          <w:sz w:val="20"/>
        </w:rPr>
        <w:t>. Marco conceptual de la investigación</w:t>
      </w:r>
      <w:bookmarkEnd w:id="72"/>
    </w:p>
    <w:p w14:paraId="2DCBF06B" w14:textId="77777777" w:rsidR="00962712" w:rsidRDefault="00BF4269">
      <w:pPr>
        <w:jc w:val="center"/>
      </w:pPr>
      <w:r>
        <w:rPr>
          <w:i/>
          <w:iCs/>
          <w:sz w:val="20"/>
        </w:rPr>
        <w:t>Nota.</w:t>
      </w:r>
      <w:r>
        <w:rPr>
          <w:sz w:val="20"/>
        </w:rPr>
        <w:t xml:space="preserve"> Elaboración propia.</w:t>
      </w:r>
    </w:p>
    <w:p w14:paraId="03D3170F" w14:textId="77777777" w:rsidR="00962712" w:rsidRDefault="00BF4269">
      <w:bookmarkStart w:id="73" w:name="Xb7f74529351ab50b9e564f6019f6ecfecdd287a"/>
      <w:r>
        <w:t>Definición conceptual de la variable independiente: Modelo de interoperabilidad basado en HL7 FHIR</w:t>
      </w:r>
    </w:p>
    <w:p w14:paraId="54285A4A" w14:textId="77777777" w:rsidR="00962712" w:rsidRDefault="00BF4269">
      <w:r>
        <w:t xml:space="preserve">El modelo de interoperabilidad basado en HL7 FHIR 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del MINSA. Desde la Teoría General de Sistemas, el modelo actúa como una intervención que articula subsistemas previamente desconectados; desde la Teoría de Difusión de Innovaciones, </w:t>
      </w:r>
      <w:r>
        <w:lastRenderedPageBreak/>
        <w:t>constituye la innovación tecnológica cuya adopción se evalúa; y desde el Enfoque Sociotécnico, integra componentes técnicos, organizacionales y humanos.</w:t>
      </w:r>
    </w:p>
    <w:p w14:paraId="2B1C996F" w14:textId="77777777" w:rsidR="00962712" w:rsidRDefault="00BF4269">
      <w:r>
        <w:rPr>
          <w:i/>
          <w:iCs/>
        </w:rPr>
        <w:t>Dimensiones de la variable independiente:</w:t>
      </w:r>
    </w:p>
    <w:p w14:paraId="0336F4EB" w14:textId="77777777" w:rsidR="00962712" w:rsidRDefault="00BF4269">
      <w:pPr>
        <w:numPr>
          <w:ilvl w:val="0"/>
          <w:numId w:val="63"/>
        </w:numPr>
      </w:pPr>
      <w:r>
        <w:rPr>
          <w:i/>
          <w:iCs/>
        </w:rPr>
        <w:t>Diagnóstico (Fase 1):</w:t>
      </w:r>
      <w:r>
        <w:t xml:space="preserve"> Evaluación del cumplimiento normativo (RNIEDS, PIDESALUD), adopción de estándares (HL7/FHIR), codificación clínica (CIE-10, CPMS), seguridad, trazabilidad e infraestructura de conectividad.</w:t>
      </w:r>
    </w:p>
    <w:p w14:paraId="6E5E9AAF" w14:textId="77777777" w:rsidR="00962712" w:rsidRDefault="00BF4269">
      <w:pPr>
        <w:numPr>
          <w:ilvl w:val="0"/>
          <w:numId w:val="63"/>
        </w:numPr>
      </w:pPr>
      <w:r>
        <w:rPr>
          <w:i/>
          <w:iCs/>
        </w:rPr>
        <w:t>Implementación piloto (Fase 2):</w:t>
      </w:r>
      <w:r>
        <w:t xml:space="preserve"> Desarrollo de la capa de integración FHIR (recursos, perfiles, terminologías), mapeo de datos locales al modelo FHIR, implementación del servicio de intercambio y capacitación del personal operativo.</w:t>
      </w:r>
    </w:p>
    <w:p w14:paraId="3E611813" w14:textId="77777777" w:rsidR="00962712" w:rsidRDefault="00BF4269">
      <w:pPr>
        <w:numPr>
          <w:ilvl w:val="0"/>
          <w:numId w:val="63"/>
        </w:numPr>
      </w:pPr>
      <w:r>
        <w:rPr>
          <w:i/>
          <w:iCs/>
        </w:rPr>
        <w:t>Evaluación de impacto (Fase 3):</w:t>
      </w:r>
      <w:r>
        <w:t xml:space="preserve"> Comparación pre/post de los indicadores de calidad del intercambio de información clínica.</w:t>
      </w:r>
    </w:p>
    <w:p w14:paraId="2DE55C0F" w14:textId="77777777" w:rsidR="00962712" w:rsidRDefault="00BF4269">
      <w:bookmarkStart w:id="74" w:name="X01a63720d51a4090303b84a67e2a896e0bf4e25"/>
      <w:bookmarkEnd w:id="73"/>
      <w:r>
        <w:t>Definición conceptual de la variable dependiente: Calidad del intercambio de información clínica</w:t>
      </w:r>
    </w:p>
    <w:p w14:paraId="5309660B" w14:textId="77777777" w:rsidR="00962712" w:rsidRDefault="00BF4269">
      <w:r>
        <w:t>La calidad del intercambio de información clínica se define como el grado en que los datos clínicos intercambiados entre establecimientos del MINSA son completos, correctamente codificados, no duplicados y trazables a lo largo del circuito de atención, en concordancia con el Modelo de Calidad de Datos de Wang y Strong (1996) y DAMA International (2017). Esta variable se operacionaliza mediante cuatro dimensiones con ocho indicadores cuantitativos medidos antes y después de la intervención.</w:t>
      </w:r>
    </w:p>
    <w:p w14:paraId="2A9C8F7C" w14:textId="77777777" w:rsidR="00962712" w:rsidRDefault="00BF4269">
      <w:r>
        <w:rPr>
          <w:i/>
          <w:iCs/>
        </w:rPr>
        <w:t>Dimensiones de la variable dependiente:</w:t>
      </w:r>
    </w:p>
    <w:p w14:paraId="53395991" w14:textId="77777777" w:rsidR="00962712" w:rsidRDefault="00BF4269">
      <w:pPr>
        <w:numPr>
          <w:ilvl w:val="0"/>
          <w:numId w:val="64"/>
        </w:numPr>
      </w:pPr>
      <w:r>
        <w:rPr>
          <w:i/>
          <w:iCs/>
        </w:rPr>
        <w:t>Integridad de datos:</w:t>
      </w:r>
      <w:r>
        <w:t xml:space="preserve"> Completitud de HCE (% campos obligatorios completos), codificación CIE-10 (% diagnósticos correctamente codificados) y codificación CPMS (% procedimientos correctamente codificados). Fundamentada en la categoría contextual de Wang y Strong (1996) y evidenciada por Gaudet-</w:t>
      </w:r>
      <w:proofErr w:type="spellStart"/>
      <w:r>
        <w:t>Blavignac</w:t>
      </w:r>
      <w:proofErr w:type="spellEnd"/>
      <w:r>
        <w:t xml:space="preserve"> et al. (2021), quienes advierten altas tasas de campos vacíos sin estrategia semántica coordinada; Arias Geronimo (2025), quien documenta el impacto de la precisión de datos en </w:t>
      </w:r>
      <w:r>
        <w:lastRenderedPageBreak/>
        <w:t>la prestación preventiva; y Morales-Camargo y Meneses-Claudio (2023), quienes confirman que la adopción desigual perpetúa campos incompletos.</w:t>
      </w:r>
    </w:p>
    <w:p w14:paraId="5A2E017E" w14:textId="77777777" w:rsidR="00962712" w:rsidRDefault="00BF4269">
      <w:pPr>
        <w:numPr>
          <w:ilvl w:val="0"/>
          <w:numId w:val="64"/>
        </w:numPr>
      </w:pPr>
      <w:r>
        <w:rPr>
          <w:i/>
          <w:iCs/>
        </w:rPr>
        <w:t>Duplicidad:</w:t>
      </w:r>
      <w:r>
        <w:t xml:space="preserve"> Duplicidad de pacientes y de exámenes (tasas por 1 000 atenciones). Documentada como problema estructural del sistema peruano por Bayona Castañeda (2019), quien identificó la persistencia de múltiples historias clínicas por paciente en distintas instituciones.</w:t>
      </w:r>
    </w:p>
    <w:p w14:paraId="31FC153E" w14:textId="77777777" w:rsidR="00962712" w:rsidRDefault="00BF4269">
      <w:pPr>
        <w:numPr>
          <w:ilvl w:val="0"/>
          <w:numId w:val="64"/>
        </w:numPr>
      </w:pPr>
      <w:r>
        <w:rPr>
          <w:i/>
          <w:iCs/>
        </w:rPr>
        <w:t>Eficiencia administrativa:</w:t>
      </w:r>
      <w:r>
        <w:t xml:space="preserve"> Tiempo promedio de validación de prestaciones SIS (horas). Respaldada por la demostración de Liu et al. (2023) de reducción significativa de tiempos y costos al sustituir </w:t>
      </w:r>
      <w:proofErr w:type="spellStart"/>
      <w:r>
        <w:t>gateways</w:t>
      </w:r>
      <w:proofErr w:type="spellEnd"/>
      <w:r>
        <w:t xml:space="preserve"> por servidores FHIR.</w:t>
      </w:r>
    </w:p>
    <w:p w14:paraId="2EC7B687" w14:textId="77777777" w:rsidR="00962712" w:rsidRDefault="00BF4269">
      <w:pPr>
        <w:numPr>
          <w:ilvl w:val="0"/>
          <w:numId w:val="64"/>
        </w:numPr>
      </w:pPr>
      <w:r>
        <w:rPr>
          <w:i/>
          <w:iCs/>
        </w:rPr>
        <w:t>Continuidad y trazabilidad:</w:t>
      </w:r>
      <w:r>
        <w:t xml:space="preserve"> Continuidad de atención (% HCE con trazabilidad verificable entre establecimientos) y trazabilidad de accesos (% registros con log completo). Validada por </w:t>
      </w:r>
      <w:proofErr w:type="spellStart"/>
      <w:r>
        <w:t>Adelusi</w:t>
      </w:r>
      <w:proofErr w:type="spellEnd"/>
      <w:r>
        <w:t xml:space="preserve"> et al. (2025) en </w:t>
      </w:r>
      <w:proofErr w:type="spellStart"/>
      <w:r>
        <w:t>frameworks</w:t>
      </w:r>
      <w:proofErr w:type="spellEnd"/>
      <w:r>
        <w:t xml:space="preserve"> federados FHIR, y complementada por las propuestas de </w:t>
      </w:r>
      <w:proofErr w:type="spellStart"/>
      <w:r>
        <w:t>blockchain</w:t>
      </w:r>
      <w:proofErr w:type="spellEnd"/>
      <w:r>
        <w:t xml:space="preserve"> de Bran et al. (2024) y Fernández Infanzón y </w:t>
      </w:r>
      <w:proofErr w:type="spellStart"/>
      <w:r>
        <w:t>Huarac</w:t>
      </w:r>
      <w:proofErr w:type="spellEnd"/>
      <w:r>
        <w:t xml:space="preserve"> </w:t>
      </w:r>
      <w:proofErr w:type="spellStart"/>
      <w:r>
        <w:t>Cuizano</w:t>
      </w:r>
      <w:proofErr w:type="spellEnd"/>
      <w:r>
        <w:t xml:space="preserve"> (2021).</w:t>
      </w:r>
    </w:p>
    <w:p w14:paraId="3EB22C10" w14:textId="77777777" w:rsidR="00962712" w:rsidRDefault="00BF4269">
      <w:bookmarkStart w:id="75" w:name="marco-regulatorio-peruano"/>
      <w:bookmarkEnd w:id="74"/>
      <w:r>
        <w:t>Marco regulatorio peruano</w:t>
      </w:r>
    </w:p>
    <w:p w14:paraId="5451458B" w14:textId="77777777" w:rsidR="00962712" w:rsidRDefault="00BF4269">
      <w:r>
        <w:t xml:space="preserve">El marco regulatorio que sustenta la dimensión normativa del modelo comprende la RM </w:t>
      </w:r>
      <w:proofErr w:type="spellStart"/>
      <w:r>
        <w:t>N°</w:t>
      </w:r>
      <w:proofErr w:type="spellEnd"/>
      <w:r>
        <w:t xml:space="preserve"> 1104-2018-MINSA (IEDS), la RM </w:t>
      </w:r>
      <w:proofErr w:type="spellStart"/>
      <w:r>
        <w:t>N°</w:t>
      </w:r>
      <w:proofErr w:type="spellEnd"/>
      <w:r>
        <w:t xml:space="preserve"> 464-2019-MINSA (RNIEDS), la RM </w:t>
      </w:r>
      <w:proofErr w:type="spellStart"/>
      <w:r>
        <w:t>N°</w:t>
      </w:r>
      <w:proofErr w:type="spellEnd"/>
      <w:r>
        <w:t xml:space="preserve"> 1193-2019-MINSA (PIDESALUD) y la Ley </w:t>
      </w:r>
      <w:proofErr w:type="spellStart"/>
      <w:r>
        <w:t>N°</w:t>
      </w:r>
      <w:proofErr w:type="spellEnd"/>
      <w:r>
        <w:t xml:space="preserve"> 30024 (RENHICE). Holmgren et al. (2023) identifican la priorización gubernamental como factor común en marcos de interoperabilidad exitosos. Bossenko et al. (2024) demuestran que la transformación de CDA a FHIR mediante herramientas visuales permite a expertos del dominio con mínimas habilidades técnicas especificar y validar reglas de transformación. En Perú, la brecha entre normativa vigente y operación efectiva —documentada por Bayona Castañeda (2019), Mauricio et al. (2024) y Esparza Morgan (2025)— justifica el componente diagnóstico de esta tesis.</w:t>
      </w:r>
    </w:p>
    <w:p w14:paraId="4CE5B645" w14:textId="77777777" w:rsidR="00962712" w:rsidRDefault="00BF4269">
      <w:pPr>
        <w:pStyle w:val="Ttulo2"/>
      </w:pPr>
      <w:bookmarkStart w:id="76" w:name="definición-de-términos-básicos"/>
      <w:bookmarkStart w:id="77" w:name="_Toc225890746"/>
      <w:bookmarkEnd w:id="56"/>
      <w:bookmarkEnd w:id="70"/>
      <w:bookmarkEnd w:id="75"/>
      <w:r>
        <w:t>2.3. Definición de términos básicos</w:t>
      </w:r>
      <w:bookmarkEnd w:id="77"/>
    </w:p>
    <w:p w14:paraId="238E4791" w14:textId="77777777" w:rsidR="00962712" w:rsidRDefault="00BF4269">
      <w:pPr>
        <w:numPr>
          <w:ilvl w:val="0"/>
          <w:numId w:val="65"/>
        </w:numPr>
      </w:pPr>
      <w:r>
        <w:rPr>
          <w:b/>
          <w:bCs/>
        </w:rPr>
        <w:t xml:space="preserve">API </w:t>
      </w:r>
      <w:proofErr w:type="spellStart"/>
      <w:r>
        <w:rPr>
          <w:b/>
          <w:bCs/>
        </w:rPr>
        <w:t>RESTful</w:t>
      </w:r>
      <w:proofErr w:type="spellEnd"/>
      <w:r>
        <w:rPr>
          <w:b/>
          <w:bCs/>
        </w:rPr>
        <w:t>:</w:t>
      </w:r>
      <w:r>
        <w:t xml:space="preserve"> Interfaz de programación de aplicaciones que sigue los principios de la arquitectura REST (</w:t>
      </w:r>
      <w:proofErr w:type="spellStart"/>
      <w:r>
        <w:t>Representational</w:t>
      </w:r>
      <w:proofErr w:type="spellEnd"/>
      <w:r>
        <w:t xml:space="preserve"> State Transfer), permitiendo la comunicación entre sistemas mediante operaciones HTTP </w:t>
      </w:r>
      <w:r>
        <w:lastRenderedPageBreak/>
        <w:t xml:space="preserve">estándar (GET, POST, PUT, DELETE). En el contexto de FHIR, las </w:t>
      </w:r>
      <w:proofErr w:type="spellStart"/>
      <w:r>
        <w:t>APIs</w:t>
      </w:r>
      <w:proofErr w:type="spellEnd"/>
      <w:r>
        <w:t xml:space="preserve"> </w:t>
      </w:r>
      <w:proofErr w:type="spellStart"/>
      <w:r>
        <w:t>RESTful</w:t>
      </w:r>
      <w:proofErr w:type="spellEnd"/>
      <w:r>
        <w:t xml:space="preserve"> constituyen el mecanismo principal para crear, leer, actualizar y eliminar recursos clínicos de forma interoperable (Pimenta et al., 2023).</w:t>
      </w:r>
    </w:p>
    <w:p w14:paraId="245C38A1" w14:textId="77777777" w:rsidR="00962712" w:rsidRDefault="00BF4269">
      <w:pPr>
        <w:numPr>
          <w:ilvl w:val="0"/>
          <w:numId w:val="65"/>
        </w:numPr>
      </w:pPr>
      <w:r>
        <w:rPr>
          <w:b/>
          <w:bCs/>
        </w:rPr>
        <w:t>CDA (</w:t>
      </w:r>
      <w:proofErr w:type="spellStart"/>
      <w:r>
        <w:rPr>
          <w:b/>
          <w:bCs/>
        </w:rPr>
        <w:t>Clinical</w:t>
      </w:r>
      <w:proofErr w:type="spellEnd"/>
      <w:r>
        <w:rPr>
          <w:b/>
          <w:bCs/>
        </w:rPr>
        <w:t xml:space="preserve"> </w:t>
      </w:r>
      <w:proofErr w:type="spellStart"/>
      <w:r>
        <w:rPr>
          <w:b/>
          <w:bCs/>
        </w:rPr>
        <w:t>Document</w:t>
      </w:r>
      <w:proofErr w:type="spellEnd"/>
      <w:r>
        <w:rPr>
          <w:b/>
          <w:bCs/>
        </w:rPr>
        <w:t xml:space="preserve"> </w:t>
      </w:r>
      <w:proofErr w:type="spellStart"/>
      <w:r>
        <w:rPr>
          <w:b/>
          <w:bCs/>
        </w:rPr>
        <w:t>Architecture</w:t>
      </w:r>
      <w:proofErr w:type="spellEnd"/>
      <w:r>
        <w:rPr>
          <w:b/>
          <w:bCs/>
        </w:rPr>
        <w:t>):</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w:t>
      </w:r>
      <w:proofErr w:type="spellStart"/>
      <w:r>
        <w:t>Bossenko</w:t>
      </w:r>
      <w:proofErr w:type="spellEnd"/>
      <w:r>
        <w:t xml:space="preserve"> et al., 2024).</w:t>
      </w:r>
    </w:p>
    <w:p w14:paraId="00F53FC0" w14:textId="77777777" w:rsidR="00962712" w:rsidRDefault="00BF4269">
      <w:pPr>
        <w:numPr>
          <w:ilvl w:val="0"/>
          <w:numId w:val="65"/>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14:paraId="5B9B5242" w14:textId="77777777" w:rsidR="00962712" w:rsidRDefault="00BF4269">
      <w:pPr>
        <w:numPr>
          <w:ilvl w:val="0"/>
          <w:numId w:val="65"/>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70AF9FF1" w14:textId="77777777" w:rsidR="00962712" w:rsidRDefault="00BF4269">
      <w:pPr>
        <w:numPr>
          <w:ilvl w:val="0"/>
          <w:numId w:val="65"/>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1C97D06C" w14:textId="77777777" w:rsidR="00962712" w:rsidRDefault="00BF4269">
      <w:pPr>
        <w:numPr>
          <w:ilvl w:val="0"/>
          <w:numId w:val="65"/>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07237A0F" w14:textId="77777777" w:rsidR="00962712" w:rsidRDefault="00BF4269">
      <w:pPr>
        <w:numPr>
          <w:ilvl w:val="0"/>
          <w:numId w:val="65"/>
        </w:numPr>
      </w:pPr>
      <w:r>
        <w:rPr>
          <w:b/>
          <w:bCs/>
        </w:rPr>
        <w:lastRenderedPageBreak/>
        <w:t xml:space="preserve">FHIR (Fast </w:t>
      </w:r>
      <w:proofErr w:type="spellStart"/>
      <w:r>
        <w:rPr>
          <w:b/>
          <w:bCs/>
        </w:rPr>
        <w:t>Healthcare</w:t>
      </w:r>
      <w:proofErr w:type="spellEnd"/>
      <w:r>
        <w:rPr>
          <w:b/>
          <w:bCs/>
        </w:rPr>
        <w:t xml:space="preserve"> </w:t>
      </w:r>
      <w:proofErr w:type="spellStart"/>
      <w:r>
        <w:rPr>
          <w:b/>
          <w:bCs/>
        </w:rPr>
        <w:t>Interoperability</w:t>
      </w:r>
      <w:proofErr w:type="spellEnd"/>
      <w:r>
        <w:rPr>
          <w:b/>
          <w:bCs/>
        </w:rPr>
        <w:t xml:space="preserve"> </w:t>
      </w:r>
      <w:proofErr w:type="spellStart"/>
      <w:r>
        <w:rPr>
          <w:b/>
          <w:bCs/>
        </w:rPr>
        <w:t>Resources</w:t>
      </w:r>
      <w:proofErr w:type="spellEnd"/>
      <w:r>
        <w:rPr>
          <w:b/>
          <w:bCs/>
        </w:rPr>
        <w:t>):</w:t>
      </w:r>
      <w:r>
        <w:t xml:space="preserve"> Estándar desarrollado por HL7 International para el intercambio electrónico de información de salud. FHIR adopta un enfoque modular basado en recursos independientes — unidades mínimas de información clínica como Patient, </w:t>
      </w:r>
      <w:proofErr w:type="spellStart"/>
      <w:r>
        <w:t>Observation</w:t>
      </w:r>
      <w:proofErr w:type="spellEnd"/>
      <w:r>
        <w:t xml:space="preserve"> y </w:t>
      </w:r>
      <w:proofErr w:type="spellStart"/>
      <w:r>
        <w:t>Condition</w:t>
      </w:r>
      <w:proofErr w:type="spellEnd"/>
      <w:r>
        <w:t xml:space="preserve"> — que se combinan para representar datos clínicos complejos. Utiliza tecnologías web modernas (REST, JSON, XML, OAuth) para facilitar la implementación. Para la presente investigación se utilizará la versión FHIR R4 (</w:t>
      </w:r>
      <w:proofErr w:type="spellStart"/>
      <w:r>
        <w:t>Release</w:t>
      </w:r>
      <w:proofErr w:type="spellEnd"/>
      <w:r>
        <w:t xml:space="preserve"> 4), por ser la versión estable con mayor adopción internacional y contar con perfiles predefinidos (US Core, International Patient </w:t>
      </w:r>
      <w:proofErr w:type="spellStart"/>
      <w:r>
        <w:t>Summary</w:t>
      </w:r>
      <w:proofErr w:type="spellEnd"/>
      <w:r>
        <w:t>) que facilitan la implementación en contextos de interoperabilidad clínica (Pimenta et al., 2023; Tabari et al., 2024).</w:t>
      </w:r>
    </w:p>
    <w:p w14:paraId="770E351D" w14:textId="77777777" w:rsidR="00962712" w:rsidRDefault="00BF4269">
      <w:pPr>
        <w:numPr>
          <w:ilvl w:val="0"/>
          <w:numId w:val="65"/>
        </w:numPr>
      </w:pPr>
      <w:proofErr w:type="spellStart"/>
      <w:r>
        <w:rPr>
          <w:b/>
          <w:bCs/>
        </w:rPr>
        <w:t>GraphQL</w:t>
      </w:r>
      <w:proofErr w:type="spellEnd"/>
      <w:r>
        <w:rPr>
          <w:b/>
          <w:bCs/>
        </w:rPr>
        <w:t>:</w:t>
      </w:r>
      <w:r>
        <w:t xml:space="preserve"> Lenguaje de consulta y entorno de ejecución para </w:t>
      </w:r>
      <w:proofErr w:type="spellStart"/>
      <w:r>
        <w:t>APIs</w:t>
      </w:r>
      <w:proofErr w:type="spellEnd"/>
      <w:r>
        <w:t xml:space="preserve"> que permite al cliente solicitar exactamente los datos que necesita en una sola petición, a diferencia de REST, que expone recursos fijos. En el contexto de FHIR, la especificación incluye un </w:t>
      </w:r>
      <w:proofErr w:type="spellStart"/>
      <w:r>
        <w:t>binding</w:t>
      </w:r>
      <w:proofErr w:type="spellEnd"/>
      <w:r>
        <w:t xml:space="preserve"> oficial </w:t>
      </w:r>
      <w:proofErr w:type="spellStart"/>
      <w:r>
        <w:t>GraphQL</w:t>
      </w:r>
      <w:proofErr w:type="spellEnd"/>
      <w:r>
        <w:t xml:space="preserve"> que posibilita consultas clínicas complejas (</w:t>
      </w:r>
      <w:proofErr w:type="spellStart"/>
      <w:r>
        <w:t>multi-recurso</w:t>
      </w:r>
      <w:proofErr w:type="spellEnd"/>
      <w:r>
        <w:t xml:space="preserve">) con menor número de llamadas al servidor, facilitando escenarios de integración donde se requiere agregar datos de Patient, </w:t>
      </w:r>
      <w:proofErr w:type="spellStart"/>
      <w:r>
        <w:t>Encounter</w:t>
      </w:r>
      <w:proofErr w:type="spellEnd"/>
      <w:r>
        <w:t xml:space="preserve"> y </w:t>
      </w:r>
      <w:proofErr w:type="spellStart"/>
      <w:r>
        <w:t>Observation</w:t>
      </w:r>
      <w:proofErr w:type="spellEnd"/>
      <w:r>
        <w:t xml:space="preserve"> en una misma transacción.</w:t>
      </w:r>
    </w:p>
    <w:p w14:paraId="7718850E" w14:textId="77777777" w:rsidR="00962712" w:rsidRDefault="00BF4269">
      <w:pPr>
        <w:numPr>
          <w:ilvl w:val="0"/>
          <w:numId w:val="65"/>
        </w:numPr>
      </w:pPr>
      <w:r>
        <w:rPr>
          <w:b/>
          <w:bCs/>
        </w:rPr>
        <w:t>Guía de Implementación (</w:t>
      </w:r>
      <w:proofErr w:type="spellStart"/>
      <w:r>
        <w:rPr>
          <w:b/>
          <w:bCs/>
        </w:rPr>
        <w:t>Implementation</w:t>
      </w:r>
      <w:proofErr w:type="spellEnd"/>
      <w:r>
        <w:rPr>
          <w:b/>
          <w:bCs/>
        </w:rPr>
        <w:t xml:space="preserve"> Guide - IG):</w:t>
      </w:r>
      <w:r>
        <w:t xml:space="preserve"> Documento que describe cómo utilizar FHIR para un caso de uso específico, incluyendo perfiles, extensiones y reglas de validación. Diferentes </w:t>
      </w:r>
      <w:proofErr w:type="spellStart"/>
      <w:r>
        <w:t>IGs</w:t>
      </w:r>
      <w:proofErr w:type="spellEnd"/>
      <w:r>
        <w:t xml:space="preserve"> pueden definir restricciones distintas sobre los mismos recursos FHIR, lo que puede generar desafíos de interoperabilidad entre sistemas que siguen guías diferentes (Kramer y </w:t>
      </w:r>
      <w:proofErr w:type="spellStart"/>
      <w:r>
        <w:t>Moesel</w:t>
      </w:r>
      <w:proofErr w:type="spellEnd"/>
      <w:r>
        <w:t>, 2023).</w:t>
      </w:r>
    </w:p>
    <w:p w14:paraId="02B55D1B" w14:textId="77777777" w:rsidR="00962712" w:rsidRDefault="00BF4269">
      <w:pPr>
        <w:numPr>
          <w:ilvl w:val="0"/>
          <w:numId w:val="65"/>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02C18165" w14:textId="77777777" w:rsidR="00962712" w:rsidRDefault="00BF4269">
      <w:pPr>
        <w:numPr>
          <w:ilvl w:val="0"/>
          <w:numId w:val="65"/>
        </w:numPr>
      </w:pPr>
      <w:r>
        <w:rPr>
          <w:b/>
          <w:bCs/>
        </w:rPr>
        <w:lastRenderedPageBreak/>
        <w:t xml:space="preserve">HIE (Health </w:t>
      </w:r>
      <w:proofErr w:type="spellStart"/>
      <w:r>
        <w:rPr>
          <w:b/>
          <w:bCs/>
        </w:rPr>
        <w:t>Information</w:t>
      </w:r>
      <w:proofErr w:type="spellEnd"/>
      <w:r>
        <w:rPr>
          <w:b/>
          <w:bCs/>
        </w:rPr>
        <w:t xml:space="preserve"> Exchange):</w:t>
      </w:r>
      <w:r>
        <w:t xml:space="preserve"> Intercambio de información de salud; proceso mediante el cual se comparte electrónicamente información clínica entre organizaciones de salud. Las HIOs (Health </w:t>
      </w:r>
      <w:proofErr w:type="spellStart"/>
      <w:r>
        <w:t>Information</w:t>
      </w:r>
      <w:proofErr w:type="spellEnd"/>
      <w:r>
        <w:t xml:space="preserve"> </w:t>
      </w:r>
      <w:proofErr w:type="spellStart"/>
      <w:r>
        <w:t>Organizations</w:t>
      </w:r>
      <w:proofErr w:type="spellEnd"/>
      <w:r>
        <w:t>) son entidades que facilitan y gobiernan este intercambio a nivel regional o nacional (Richwine et al., 2025).</w:t>
      </w:r>
    </w:p>
    <w:p w14:paraId="548DB617" w14:textId="77777777" w:rsidR="00962712" w:rsidRDefault="00BF4269">
      <w:pPr>
        <w:numPr>
          <w:ilvl w:val="0"/>
          <w:numId w:val="65"/>
        </w:numPr>
      </w:pPr>
      <w:r>
        <w:rPr>
          <w:b/>
          <w:bCs/>
        </w:rPr>
        <w:t xml:space="preserve">HIS (Hospital </w:t>
      </w:r>
      <w:proofErr w:type="spellStart"/>
      <w:r>
        <w:rPr>
          <w:b/>
          <w:bCs/>
        </w:rPr>
        <w:t>Information</w:t>
      </w:r>
      <w:proofErr w:type="spellEnd"/>
      <w:r>
        <w:rPr>
          <w:b/>
          <w:bCs/>
        </w:rPr>
        <w:t xml:space="preserve"> </w:t>
      </w:r>
      <w:proofErr w:type="spellStart"/>
      <w:r>
        <w:rPr>
          <w:b/>
          <w:bCs/>
        </w:rPr>
        <w:t>System</w:t>
      </w:r>
      <w:proofErr w:type="spellEnd"/>
      <w:r>
        <w:rPr>
          <w:b/>
          <w:bCs/>
        </w:rPr>
        <w:t>):</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5B8F7C3F" w14:textId="77777777" w:rsidR="00962712" w:rsidRDefault="00BF4269">
      <w:pPr>
        <w:numPr>
          <w:ilvl w:val="0"/>
          <w:numId w:val="65"/>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14:paraId="2A9E64AA" w14:textId="77777777" w:rsidR="00962712" w:rsidRDefault="00BF4269">
      <w:pPr>
        <w:numPr>
          <w:ilvl w:val="0"/>
          <w:numId w:val="65"/>
        </w:numPr>
      </w:pPr>
      <w:r>
        <w:rPr>
          <w:b/>
          <w:bCs/>
        </w:rPr>
        <w:t>IEDS (Infraestructura de Estándares de Datos en Salud):</w:t>
      </w:r>
      <w:r>
        <w:t xml:space="preserve"> Marco normativo peruano establecido por la RM </w:t>
      </w:r>
      <w:proofErr w:type="spellStart"/>
      <w:r>
        <w:t>N°</w:t>
      </w:r>
      <w:proofErr w:type="spellEnd"/>
      <w:r>
        <w:t xml:space="preserve"> 1104-2018-MINSA que define los estándares técnicos para la representación, almacenamiento e intercambio de datos de salud entre los establecimientos del sistema público peruano.</w:t>
      </w:r>
    </w:p>
    <w:p w14:paraId="19889731" w14:textId="77777777" w:rsidR="00962712" w:rsidRDefault="00BF4269">
      <w:pPr>
        <w:numPr>
          <w:ilvl w:val="0"/>
          <w:numId w:val="65"/>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281CE694" w14:textId="77777777" w:rsidR="00962712" w:rsidRDefault="00BF4269">
      <w:pPr>
        <w:numPr>
          <w:ilvl w:val="0"/>
          <w:numId w:val="65"/>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w:t>
      </w:r>
      <w:proofErr w:type="spellStart"/>
      <w:r>
        <w:t>Torab-Miandoab</w:t>
      </w:r>
      <w:proofErr w:type="spellEnd"/>
      <w:r>
        <w:t xml:space="preserve"> et al., 2023). Porras Gamarra (2024) demostró la </w:t>
      </w:r>
      <w:r>
        <w:lastRenderedPageBreak/>
        <w:t>viabilidad de combinar interoperabilidad sintáctica (HL7 FHIR) con semántica (</w:t>
      </w:r>
      <w:proofErr w:type="spellStart"/>
      <w:r>
        <w:t>openEHR</w:t>
      </w:r>
      <w:proofErr w:type="spellEnd"/>
      <w:r>
        <w:t>) en un contexto real de salud.</w:t>
      </w:r>
    </w:p>
    <w:p w14:paraId="77C682F2" w14:textId="77777777" w:rsidR="00962712" w:rsidRDefault="00BF4269">
      <w:pPr>
        <w:numPr>
          <w:ilvl w:val="0"/>
          <w:numId w:val="65"/>
        </w:numPr>
      </w:pPr>
      <w:r>
        <w:rPr>
          <w:b/>
          <w:bCs/>
        </w:rPr>
        <w:t>LOINC (</w:t>
      </w:r>
      <w:proofErr w:type="spellStart"/>
      <w:r>
        <w:rPr>
          <w:b/>
          <w:bCs/>
        </w:rPr>
        <w:t>Logical</w:t>
      </w:r>
      <w:proofErr w:type="spellEnd"/>
      <w:r>
        <w:rPr>
          <w:b/>
          <w:bCs/>
        </w:rPr>
        <w:t xml:space="preserve"> </w:t>
      </w:r>
      <w:proofErr w:type="spellStart"/>
      <w:r>
        <w:rPr>
          <w:b/>
          <w:bCs/>
        </w:rPr>
        <w:t>Observation</w:t>
      </w:r>
      <w:proofErr w:type="spellEnd"/>
      <w:r>
        <w:rPr>
          <w:b/>
          <w:bCs/>
        </w:rPr>
        <w:t xml:space="preserve"> </w:t>
      </w:r>
      <w:proofErr w:type="spellStart"/>
      <w:r>
        <w:rPr>
          <w:b/>
          <w:bCs/>
        </w:rPr>
        <w:t>Identifiers</w:t>
      </w:r>
      <w:proofErr w:type="spellEnd"/>
      <w:r>
        <w:rPr>
          <w:b/>
          <w:bCs/>
        </w:rPr>
        <w:t xml:space="preserve"> Names and Codes):</w:t>
      </w:r>
      <w:r>
        <w:t xml:space="preserve"> Sistema de codificación universal desarrollado por el </w:t>
      </w:r>
      <w:proofErr w:type="spellStart"/>
      <w:r>
        <w:t>Regenstrief</w:t>
      </w:r>
      <w:proofErr w:type="spellEnd"/>
      <w:r>
        <w:t xml:space="preserve"> </w:t>
      </w:r>
      <w:proofErr w:type="spellStart"/>
      <w:r>
        <w:t>Institute</w:t>
      </w:r>
      <w:proofErr w:type="spellEnd"/>
      <w:r>
        <w:t xml:space="preserv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w:t>
      </w:r>
      <w:proofErr w:type="spellStart"/>
      <w:r>
        <w:t>Torab-Miandoab</w:t>
      </w:r>
      <w:proofErr w:type="spellEnd"/>
      <w:r>
        <w:t xml:space="preserve"> et al., 2023).</w:t>
      </w:r>
    </w:p>
    <w:p w14:paraId="159A6D2F" w14:textId="77777777" w:rsidR="00962712" w:rsidRDefault="00BF4269">
      <w:pPr>
        <w:numPr>
          <w:ilvl w:val="0"/>
          <w:numId w:val="65"/>
        </w:numPr>
      </w:pPr>
      <w:r>
        <w:rPr>
          <w:b/>
          <w:bCs/>
        </w:rPr>
        <w:t xml:space="preserve">OAuth 2.0 (Open </w:t>
      </w:r>
      <w:proofErr w:type="spellStart"/>
      <w:r>
        <w:rPr>
          <w:b/>
          <w:bCs/>
        </w:rPr>
        <w:t>Authorization</w:t>
      </w:r>
      <w:proofErr w:type="spellEnd"/>
      <w:r>
        <w:rPr>
          <w:b/>
          <w:bCs/>
        </w:rPr>
        <w:t xml:space="preserve">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w:t>
      </w:r>
      <w:proofErr w:type="spellStart"/>
      <w:r>
        <w:t>APIs</w:t>
      </w:r>
      <w:proofErr w:type="spellEnd"/>
      <w:r>
        <w:t xml:space="preserve"> clínicas, implementado típicamente a través del perfil SMART </w:t>
      </w:r>
      <w:proofErr w:type="spellStart"/>
      <w:r>
        <w:t>on</w:t>
      </w:r>
      <w:proofErr w:type="spellEnd"/>
      <w:r>
        <w:t xml:space="preserve"> FHIR que define flujos de autorización específicos para aplicaciones de salud.</w:t>
      </w:r>
    </w:p>
    <w:p w14:paraId="605B73DF" w14:textId="77777777" w:rsidR="00962712" w:rsidRDefault="00BF4269">
      <w:pPr>
        <w:numPr>
          <w:ilvl w:val="0"/>
          <w:numId w:val="65"/>
        </w:numPr>
      </w:pPr>
      <w:proofErr w:type="spellStart"/>
      <w:r>
        <w:rPr>
          <w:b/>
          <w:bCs/>
        </w:rPr>
        <w:t>openEHR</w:t>
      </w:r>
      <w:proofErr w:type="spellEnd"/>
      <w:r>
        <w:rPr>
          <w:b/>
          <w:bCs/>
        </w:rPr>
        <w:t>:</w:t>
      </w:r>
      <w:r>
        <w:t xml:space="preserve"> 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w:t>
      </w:r>
      <w:proofErr w:type="spellStart"/>
      <w:r>
        <w:t>Connecta</w:t>
      </w:r>
      <w:proofErr w:type="spellEnd"/>
      <w:r>
        <w:t>.</w:t>
      </w:r>
    </w:p>
    <w:p w14:paraId="2F791D03" w14:textId="77777777" w:rsidR="00962712" w:rsidRDefault="00BF4269">
      <w:pPr>
        <w:numPr>
          <w:ilvl w:val="0"/>
          <w:numId w:val="65"/>
        </w:numPr>
      </w:pPr>
      <w:r>
        <w:rPr>
          <w:b/>
          <w:bCs/>
        </w:rPr>
        <w:t>RENHICE (Registro Nacional de Historias Clínicas Electrónicas):</w:t>
      </w:r>
      <w:r>
        <w:t xml:space="preserve"> Registro creado por la Ley </w:t>
      </w:r>
      <w:proofErr w:type="spellStart"/>
      <w:r>
        <w:t>N°</w:t>
      </w:r>
      <w:proofErr w:type="spellEnd"/>
      <w:r>
        <w:t xml:space="preserve"> 30024 del Perú que tiene como objetivo garantizar el acceso y disponibilidad de las historias clínicas electrónicas a nivel nacional, promoviendo la interoperabilidad entre las IPRESS públicas y privadas (Bayona Castañeda, 2019).</w:t>
      </w:r>
    </w:p>
    <w:p w14:paraId="545ABE40" w14:textId="77777777" w:rsidR="00962712" w:rsidRDefault="00BF4269">
      <w:pPr>
        <w:numPr>
          <w:ilvl w:val="0"/>
          <w:numId w:val="65"/>
        </w:numPr>
      </w:pPr>
      <w:r>
        <w:rPr>
          <w:b/>
          <w:bCs/>
        </w:rPr>
        <w:t>PIDESALUD (Plataforma de Interoperabilidad de Datos Estándares de Salud):</w:t>
      </w:r>
      <w:r>
        <w:t xml:space="preserve"> Plataforma normada por la RM </w:t>
      </w:r>
      <w:proofErr w:type="spellStart"/>
      <w:r>
        <w:t>N°</w:t>
      </w:r>
      <w:proofErr w:type="spellEnd"/>
      <w:r>
        <w:t xml:space="preserve"> 1193-2019-MINSA que establece los mecanismos técnicos para la interoperabilidad de datos de salud entre los establecimientos del MINSA y otras entidades del sector salud peruano.</w:t>
      </w:r>
    </w:p>
    <w:p w14:paraId="38418600" w14:textId="77777777" w:rsidR="00962712" w:rsidRDefault="00BF4269">
      <w:pPr>
        <w:numPr>
          <w:ilvl w:val="0"/>
          <w:numId w:val="65"/>
        </w:numPr>
      </w:pPr>
      <w:r>
        <w:rPr>
          <w:b/>
          <w:bCs/>
        </w:rPr>
        <w:lastRenderedPageBreak/>
        <w:t>Recurso FHIR:</w:t>
      </w:r>
      <w:r>
        <w:t xml:space="preserve"> Unidad modular básica de información en el estándar FHIR, descrita metafóricamente como un “ladrillo Lego®” de información sanitaria. Cada recurso representa un concepto clínico o administrativo discreto (Patient, </w:t>
      </w:r>
      <w:proofErr w:type="spellStart"/>
      <w:r>
        <w:t>Encounter</w:t>
      </w:r>
      <w:proofErr w:type="spellEnd"/>
      <w:r>
        <w:t xml:space="preserve">, </w:t>
      </w:r>
      <w:proofErr w:type="spellStart"/>
      <w:r>
        <w:t>Observation</w:t>
      </w:r>
      <w:proofErr w:type="spellEnd"/>
      <w:r>
        <w:t xml:space="preserve">, </w:t>
      </w:r>
      <w:proofErr w:type="spellStart"/>
      <w:r>
        <w:t>Condition</w:t>
      </w:r>
      <w:proofErr w:type="spellEnd"/>
      <w:r>
        <w:t xml:space="preserve">, </w:t>
      </w:r>
      <w:proofErr w:type="spellStart"/>
      <w:r>
        <w:t>Procedure</w:t>
      </w:r>
      <w:proofErr w:type="spellEnd"/>
      <w:r>
        <w:t>, entre otros) y puede utilizarse de forma independiente o combinada (Pimenta et al., 2023).</w:t>
      </w:r>
    </w:p>
    <w:p w14:paraId="44BE854B" w14:textId="77777777" w:rsidR="00962712" w:rsidRDefault="00BF4269">
      <w:pPr>
        <w:numPr>
          <w:ilvl w:val="0"/>
          <w:numId w:val="65"/>
        </w:numPr>
      </w:pPr>
      <w:r>
        <w:rPr>
          <w:b/>
          <w:bCs/>
        </w:rPr>
        <w:t>RNIEDS (Red Nacional de Interoperabilidad en Datos de Salud):</w:t>
      </w:r>
      <w:r>
        <w:t xml:space="preserve"> Red normada por la RM </w:t>
      </w:r>
      <w:proofErr w:type="spellStart"/>
      <w:r>
        <w:t>N°</w:t>
      </w:r>
      <w:proofErr w:type="spellEnd"/>
      <w:r>
        <w:t xml:space="preserve"> 464-2019-MINSA que define la arquitectura de conectividad e intercambio de datos estandarizados entre los sistemas de información de los establecimientos de salud del MINSA a nivel nacional.</w:t>
      </w:r>
    </w:p>
    <w:p w14:paraId="5C0C592C" w14:textId="77777777" w:rsidR="00962712" w:rsidRDefault="00BF4269">
      <w:pPr>
        <w:numPr>
          <w:ilvl w:val="0"/>
          <w:numId w:val="65"/>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60C5DF66" w14:textId="77777777" w:rsidR="00962712" w:rsidRDefault="00BF4269">
      <w:pPr>
        <w:numPr>
          <w:ilvl w:val="0"/>
          <w:numId w:val="65"/>
        </w:numPr>
      </w:pPr>
      <w:r>
        <w:rPr>
          <w:b/>
          <w:bCs/>
        </w:rPr>
        <w:t xml:space="preserve">SMART </w:t>
      </w:r>
      <w:proofErr w:type="spellStart"/>
      <w:r>
        <w:rPr>
          <w:b/>
          <w:bCs/>
        </w:rPr>
        <w:t>on</w:t>
      </w:r>
      <w:proofErr w:type="spellEnd"/>
      <w:r>
        <w:rPr>
          <w:b/>
          <w:bCs/>
        </w:rPr>
        <w:t xml:space="preserve"> FHIR (</w:t>
      </w:r>
      <w:proofErr w:type="spellStart"/>
      <w:r>
        <w:rPr>
          <w:b/>
          <w:bCs/>
        </w:rPr>
        <w:t>Substitutable</w:t>
      </w:r>
      <w:proofErr w:type="spellEnd"/>
      <w:r>
        <w:rPr>
          <w:b/>
          <w:bCs/>
        </w:rPr>
        <w:t xml:space="preserve"> Medical </w:t>
      </w:r>
      <w:proofErr w:type="spellStart"/>
      <w:r>
        <w:rPr>
          <w:b/>
          <w:bCs/>
        </w:rPr>
        <w:t>Applications</w:t>
      </w:r>
      <w:proofErr w:type="spellEnd"/>
      <w:r>
        <w:rPr>
          <w:b/>
          <w:bCs/>
        </w:rPr>
        <w:t>, Reusable Technologies):</w:t>
      </w:r>
      <w:r>
        <w:t xml:space="preserve"> Plataforma de estándares abiertos que define cómo las aplicaciones clínicas se autentican, autorizan y conectan a servidores FHIR de forma segura y portátil. Combina OAuth 2.0, </w:t>
      </w:r>
      <w:proofErr w:type="spellStart"/>
      <w:r>
        <w:t>OpenID</w:t>
      </w:r>
      <w:proofErr w:type="spellEnd"/>
      <w:r>
        <w:t xml:space="preserve"> </w:t>
      </w:r>
      <w:proofErr w:type="spellStart"/>
      <w:r>
        <w:t>Connect</w:t>
      </w:r>
      <w:proofErr w:type="spellEnd"/>
      <w:r>
        <w:t xml:space="preserve"> y perfiles FHIR para permitir que una misma aplicación funcione sobre cualquier EHR compatible, promoviendo un ecosistema de aplicaciones clínicas intercambiables.</w:t>
      </w:r>
    </w:p>
    <w:p w14:paraId="221833E8" w14:textId="77777777" w:rsidR="00962712" w:rsidRDefault="00BF4269">
      <w:pPr>
        <w:numPr>
          <w:ilvl w:val="0"/>
          <w:numId w:val="65"/>
        </w:numPr>
      </w:pPr>
      <w:r>
        <w:rPr>
          <w:b/>
          <w:bCs/>
        </w:rPr>
        <w:t>SNOMED-CT (</w:t>
      </w:r>
      <w:proofErr w:type="spellStart"/>
      <w:r>
        <w:rPr>
          <w:b/>
          <w:bCs/>
        </w:rPr>
        <w:t>Systematized</w:t>
      </w:r>
      <w:proofErr w:type="spellEnd"/>
      <w:r>
        <w:rPr>
          <w:b/>
          <w:bCs/>
        </w:rPr>
        <w:t xml:space="preserve"> </w:t>
      </w:r>
      <w:proofErr w:type="spellStart"/>
      <w:r>
        <w:rPr>
          <w:b/>
          <w:bCs/>
        </w:rPr>
        <w:t>Nomenclature</w:t>
      </w:r>
      <w:proofErr w:type="spellEnd"/>
      <w:r>
        <w:rPr>
          <w:b/>
          <w:bCs/>
        </w:rPr>
        <w:t xml:space="preserve"> </w:t>
      </w:r>
      <w:proofErr w:type="spellStart"/>
      <w:r>
        <w:rPr>
          <w:b/>
          <w:bCs/>
        </w:rPr>
        <w:t>of</w:t>
      </w:r>
      <w:proofErr w:type="spellEnd"/>
      <w:r>
        <w:rPr>
          <w:b/>
          <w:bCs/>
        </w:rPr>
        <w:t xml:space="preserve"> Medicine — </w:t>
      </w:r>
      <w:proofErr w:type="spellStart"/>
      <w:r>
        <w:rPr>
          <w:b/>
          <w:bCs/>
        </w:rPr>
        <w:t>Clinical</w:t>
      </w:r>
      <w:proofErr w:type="spellEnd"/>
      <w:r>
        <w:rPr>
          <w:b/>
          <w:bCs/>
        </w:rPr>
        <w:t xml:space="preserve"> </w:t>
      </w:r>
      <w:proofErr w:type="spellStart"/>
      <w:r>
        <w:rPr>
          <w:b/>
          <w:bCs/>
        </w:rPr>
        <w:t>Terms</w:t>
      </w:r>
      <w:proofErr w:type="spellEnd"/>
      <w:r>
        <w:rPr>
          <w:b/>
          <w:bCs/>
        </w:rPr>
        <w:t>):</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w:t>
      </w:r>
      <w:proofErr w:type="spellStart"/>
      <w:r>
        <w:t>Torab-Miandoab</w:t>
      </w:r>
      <w:proofErr w:type="spellEnd"/>
      <w:r>
        <w:t xml:space="preserve"> et al., 2023).</w:t>
      </w:r>
    </w:p>
    <w:p w14:paraId="158C1BAF" w14:textId="77777777" w:rsidR="00962712" w:rsidRDefault="00BF4269">
      <w:pPr>
        <w:pStyle w:val="Ttulo3"/>
      </w:pPr>
      <w:bookmarkStart w:id="78" w:name="X4340cc8ce31cdaca397d35e3447146e54ba14cf"/>
      <w:bookmarkStart w:id="79" w:name="_Toc225890747"/>
      <w:r>
        <w:t>2.3.1. Definiciones operacionales de los indicadores de calidad del intercambio</w:t>
      </w:r>
      <w:bookmarkEnd w:id="79"/>
    </w:p>
    <w:p w14:paraId="3B0EB83B" w14:textId="77777777" w:rsidR="00962712" w:rsidRDefault="00BF4269">
      <w:r>
        <w:lastRenderedPageBreak/>
        <w:t>Los siguientes términos se definen en su acepción operacional específica para esta investigación, en correspondencia con las dimensiones de la variable dependiente operacionalizada en el Capítulo III y con la fundamentación teórica sobre calidad de datos clínicos presentada en la sección 2.2.</w:t>
      </w:r>
    </w:p>
    <w:p w14:paraId="3EBE76FE" w14:textId="77777777" w:rsidR="00962712" w:rsidRDefault="00BF4269">
      <w:pPr>
        <w:numPr>
          <w:ilvl w:val="0"/>
          <w:numId w:val="66"/>
        </w:numPr>
      </w:pPr>
      <w:r>
        <w:rPr>
          <w:b/>
          <w:bCs/>
        </w:rPr>
        <w:t>Integridad del registro clínico (operacional):</w:t>
      </w:r>
      <w:r>
        <w:t xml:space="preserve"> Proporción de campos clínicos obligatorios —según los perfiles FHIR definidos en la Guía de Implementación del estudio— que se encuentran completos y con valores válidos en los recursos intercambiados (Patient, </w:t>
      </w:r>
      <w:proofErr w:type="spellStart"/>
      <w:r>
        <w:t>Condition</w:t>
      </w:r>
      <w:proofErr w:type="spellEnd"/>
      <w:r>
        <w:t xml:space="preserve">, </w:t>
      </w:r>
      <w:proofErr w:type="spellStart"/>
      <w:r>
        <w:t>Observation</w:t>
      </w:r>
      <w:proofErr w:type="spellEnd"/>
      <w:r>
        <w:t>). Se calcula como el porcentaje de recursos FHIR que contienen valores válidos en los campos marcados como obligatorios (</w:t>
      </w:r>
      <w:proofErr w:type="spellStart"/>
      <w:r>
        <w:t>must-support</w:t>
      </w:r>
      <w:proofErr w:type="spellEnd"/>
      <w:r>
        <w:t xml:space="preserve"> = true).</w:t>
      </w:r>
    </w:p>
    <w:p w14:paraId="2BE7B3A9" w14:textId="77777777" w:rsidR="00962712" w:rsidRDefault="00BF4269">
      <w:pPr>
        <w:numPr>
          <w:ilvl w:val="0"/>
          <w:numId w:val="66"/>
        </w:numPr>
      </w:pPr>
      <w:r>
        <w:rPr>
          <w:b/>
          <w:bCs/>
        </w:rPr>
        <w:t>Consistencia en la codificación clínica (operacional):</w:t>
      </w:r>
      <w:r>
        <w:t xml:space="preserve"> Grado de concordancia entre la codificación empleada por los sistemas emisores y los estándares definidos en el marco normativo (CIE-10, CPMS). Se mide como el porcentaje de diagnósticos y procedimientos que cumplen con la codificación estándar vigente respecto al total de registros auditados.</w:t>
      </w:r>
    </w:p>
    <w:p w14:paraId="72E41583" w14:textId="77777777" w:rsidR="00962712" w:rsidRDefault="00BF4269">
      <w:pPr>
        <w:numPr>
          <w:ilvl w:val="0"/>
          <w:numId w:val="66"/>
        </w:numPr>
      </w:pPr>
      <w:r>
        <w:rPr>
          <w:b/>
          <w:bCs/>
        </w:rPr>
        <w:t>Disponibilidad del intercambio (operacional):</w:t>
      </w:r>
      <w:r>
        <w:t xml:space="preserve"> Porcentaje de transacciones FHIR exitosas respecto al total de transacciones programadas durante el periodo de evaluación, calculado mediante el análisis de logs del servidor FHIR piloto.</w:t>
      </w:r>
    </w:p>
    <w:p w14:paraId="331A287E" w14:textId="77777777" w:rsidR="00962712" w:rsidRDefault="00BF4269">
      <w:pPr>
        <w:numPr>
          <w:ilvl w:val="0"/>
          <w:numId w:val="66"/>
        </w:numPr>
      </w:pPr>
      <w:r>
        <w:rPr>
          <w:b/>
          <w:bCs/>
        </w:rPr>
        <w:t>Continuidad asistencial (operacional):</w:t>
      </w:r>
      <w:r>
        <w:t xml:space="preserve"> Capacidad de acceder al historial clínico completo de un paciente a lo largo de los diferentes niveles de atención dentro del circuito piloto, medida como el porcentaje de pacientes cuya información clínica está disponible en su totalidad en cada punto de atención visitado.</w:t>
      </w:r>
    </w:p>
    <w:p w14:paraId="57534536" w14:textId="77777777" w:rsidR="00962712" w:rsidRPr="00932567" w:rsidRDefault="00BF4269">
      <w:pPr>
        <w:pStyle w:val="Ttulo1"/>
        <w:pageBreakBefore/>
        <w:rPr>
          <w:lang w:val="en-US"/>
        </w:rPr>
      </w:pPr>
      <w:bookmarkStart w:id="80" w:name="referencias"/>
      <w:bookmarkStart w:id="81" w:name="_Toc225890748"/>
      <w:bookmarkEnd w:id="46"/>
      <w:bookmarkEnd w:id="76"/>
      <w:bookmarkEnd w:id="78"/>
      <w:proofErr w:type="spellStart"/>
      <w:r w:rsidRPr="00932567">
        <w:rPr>
          <w:lang w:val="en-US"/>
        </w:rPr>
        <w:lastRenderedPageBreak/>
        <w:t>Referencias</w:t>
      </w:r>
      <w:bookmarkEnd w:id="81"/>
      <w:proofErr w:type="spellEnd"/>
    </w:p>
    <w:p w14:paraId="30930FDF" w14:textId="77777777" w:rsidR="00962712" w:rsidRPr="00E5460C" w:rsidRDefault="00BF4269">
      <w:pPr>
        <w:rPr>
          <w:lang w:val="en-US"/>
        </w:rPr>
      </w:pPr>
      <w:proofErr w:type="spellStart"/>
      <w:r w:rsidRPr="00E5460C">
        <w:rPr>
          <w:lang w:val="en-US"/>
        </w:rPr>
        <w:t>Adelusi</w:t>
      </w:r>
      <w:proofErr w:type="spellEnd"/>
      <w:r w:rsidRPr="00E5460C">
        <w:rPr>
          <w:lang w:val="en-US"/>
        </w:rPr>
        <w:t xml:space="preserve">, B. S., Osamika, D., </w:t>
      </w:r>
      <w:proofErr w:type="spellStart"/>
      <w:r w:rsidRPr="00E5460C">
        <w:rPr>
          <w:lang w:val="en-US"/>
        </w:rPr>
        <w:t>Chinyeaka</w:t>
      </w:r>
      <w:proofErr w:type="spellEnd"/>
      <w:r w:rsidRPr="00E5460C">
        <w:rPr>
          <w:lang w:val="en-US"/>
        </w:rPr>
        <w:t xml:space="preserve"> Kelvin-Agwu, M., Mustapha, A. Y., </w:t>
      </w:r>
      <w:proofErr w:type="spellStart"/>
      <w:r w:rsidRPr="00E5460C">
        <w:rPr>
          <w:lang w:val="en-US"/>
        </w:rPr>
        <w:t>Forkuo</w:t>
      </w:r>
      <w:proofErr w:type="spellEnd"/>
      <w:r w:rsidRPr="00E5460C">
        <w:rPr>
          <w:lang w:val="en-US"/>
        </w:rPr>
        <w:t xml:space="preserve">, A. Y., &amp; </w:t>
      </w:r>
      <w:proofErr w:type="spellStart"/>
      <w:r w:rsidRPr="00E5460C">
        <w:rPr>
          <w:lang w:val="en-US"/>
        </w:rPr>
        <w:t>Ikhalea</w:t>
      </w:r>
      <w:proofErr w:type="spellEnd"/>
      <w:r w:rsidRPr="00E5460C">
        <w:rPr>
          <w:lang w:val="en-US"/>
        </w:rPr>
        <w:t xml:space="preserve">, N. (2025). A Federated Interoperability Framework for Seamless Health Data Exchange Using FHIR Standards Across Multi-Hospital Systems. </w:t>
      </w:r>
      <w:r w:rsidRPr="00E5460C">
        <w:rPr>
          <w:i/>
          <w:iCs/>
          <w:lang w:val="en-US"/>
        </w:rPr>
        <w:t>Engineering and Technology Journal, 10</w:t>
      </w:r>
      <w:r w:rsidRPr="00E5460C">
        <w:rPr>
          <w:lang w:val="en-US"/>
        </w:rPr>
        <w:t>(05). https://doi.org/10.47191/etj/v10i05.03</w:t>
      </w:r>
    </w:p>
    <w:p w14:paraId="14D49D08" w14:textId="77777777" w:rsidR="00962712" w:rsidRPr="00E5460C" w:rsidRDefault="00BF4269">
      <w:pPr>
        <w:rPr>
          <w:lang w:val="en-US"/>
        </w:rPr>
      </w:pPr>
      <w:r w:rsidRPr="00E5460C">
        <w:rPr>
          <w:lang w:val="en-US"/>
        </w:rPr>
        <w:t xml:space="preserve">Amar, F., April, A., &amp; Abran, A. (2024). Electronic Health Record and Semantic Issues Using Fast Healthcare Interoperability Resources: Systematic Mapping Review. </w:t>
      </w:r>
      <w:r w:rsidRPr="00E5460C">
        <w:rPr>
          <w:i/>
          <w:iCs/>
          <w:lang w:val="en-US"/>
        </w:rPr>
        <w:t>Journal of Medical Internet Research, 26</w:t>
      </w:r>
      <w:r w:rsidRPr="00E5460C">
        <w:rPr>
          <w:lang w:val="en-US"/>
        </w:rPr>
        <w:t>, e45209. https://doi.org/10.2196/45209</w:t>
      </w:r>
    </w:p>
    <w:p w14:paraId="3B98E62B" w14:textId="77777777" w:rsidR="00962712" w:rsidRPr="00E5460C" w:rsidRDefault="00BF4269">
      <w:pPr>
        <w:rPr>
          <w:lang w:val="en-US"/>
        </w:rPr>
      </w:pPr>
      <w:r w:rsidRPr="00E5460C">
        <w:rPr>
          <w:lang w:val="en-US"/>
        </w:rPr>
        <w:t xml:space="preserve">Anand, G., &amp; Sadhna, D. (2023). Electronic health record interoperability using FHIR and blockchain: A bibliometric analysis and future perspective. </w:t>
      </w:r>
      <w:r w:rsidRPr="00E5460C">
        <w:rPr>
          <w:i/>
          <w:iCs/>
          <w:lang w:val="en-US"/>
        </w:rPr>
        <w:t>Perspectives in Clinical Research, 14</w:t>
      </w:r>
      <w:r w:rsidRPr="00E5460C">
        <w:rPr>
          <w:lang w:val="en-US"/>
        </w:rPr>
        <w:t>(4), 161-166. https://doi.org/10.4103/picr.picr_272_22</w:t>
      </w:r>
    </w:p>
    <w:p w14:paraId="73C2C42D" w14:textId="77777777" w:rsidR="00962712" w:rsidRDefault="00BF4269">
      <w:r w:rsidRPr="00E5460C">
        <w:rPr>
          <w:lang w:val="en-US"/>
        </w:rP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11ECFA45" w14:textId="77777777" w:rsidR="00962712" w:rsidRDefault="00BF4269">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4B49EFB9" w14:textId="77777777" w:rsidR="00962712" w:rsidRPr="00E5460C" w:rsidRDefault="00BF4269">
      <w:pPr>
        <w:rPr>
          <w:lang w:val="en-US"/>
        </w:rPr>
      </w:pPr>
      <w:r>
        <w:t xml:space="preserve">Bayona Castañeda, L. (2019). </w:t>
      </w:r>
      <w:r>
        <w:rPr>
          <w:i/>
          <w:iCs/>
        </w:rPr>
        <w:t>Radiografía de la Historia Clínica en Perú</w:t>
      </w:r>
      <w:r>
        <w:t xml:space="preserve"> [Trabajo de fin de máster, </w:t>
      </w:r>
      <w:proofErr w:type="spellStart"/>
      <w:r>
        <w:t>Universitat</w:t>
      </w:r>
      <w:proofErr w:type="spellEnd"/>
      <w:r>
        <w:t xml:space="preserve"> </w:t>
      </w:r>
      <w:proofErr w:type="spellStart"/>
      <w:r>
        <w:t>Politècnica</w:t>
      </w:r>
      <w:proofErr w:type="spellEnd"/>
      <w:r>
        <w:t xml:space="preserve"> de València]. </w:t>
      </w:r>
      <w:proofErr w:type="spellStart"/>
      <w:r w:rsidRPr="00E5460C">
        <w:rPr>
          <w:lang w:val="en-US"/>
        </w:rPr>
        <w:t>RiuNet</w:t>
      </w:r>
      <w:proofErr w:type="spellEnd"/>
      <w:r w:rsidRPr="00E5460C">
        <w:rPr>
          <w:lang w:val="en-US"/>
        </w:rPr>
        <w:t xml:space="preserve"> UPV.</w:t>
      </w:r>
    </w:p>
    <w:p w14:paraId="6E7E710F" w14:textId="77777777" w:rsidR="00962712" w:rsidRPr="00E5460C" w:rsidRDefault="00BF4269">
      <w:pPr>
        <w:rPr>
          <w:lang w:val="en-US"/>
        </w:rPr>
      </w:pPr>
      <w:r w:rsidRPr="00E5460C">
        <w:rPr>
          <w:lang w:val="en-US"/>
        </w:rPr>
        <w:t xml:space="preserve">Bossenko, I., Randmaa, R., Piho, G., &amp; Ross, P. (2024). Interoperability of health data using FHIR Mapping Language: Transforming HL7 CDA to FHIR with reusable visual components. </w:t>
      </w:r>
      <w:r w:rsidRPr="00E5460C">
        <w:rPr>
          <w:i/>
          <w:iCs/>
          <w:lang w:val="en-US"/>
        </w:rPr>
        <w:t>Frontiers in Digital Health, 6</w:t>
      </w:r>
      <w:r w:rsidRPr="00E5460C">
        <w:rPr>
          <w:lang w:val="en-US"/>
        </w:rPr>
        <w:t>. https://doi.org/10.3389/fdgth.2024.1480600</w:t>
      </w:r>
    </w:p>
    <w:p w14:paraId="03C43906" w14:textId="77777777" w:rsidR="00962712" w:rsidRPr="00E5460C" w:rsidRDefault="00BF4269">
      <w:pPr>
        <w:rPr>
          <w:lang w:val="en-US"/>
        </w:rPr>
      </w:pPr>
      <w:r w:rsidRPr="00E5460C">
        <w:rPr>
          <w:lang w:val="en-US"/>
        </w:rPr>
        <w:t xml:space="preserve">Bran, E., Alzamora, A., Castañeda-Carbajal, B., Castillo-Sequera, J. L., &amp; Wong, L. (2024). Interoperability Blockchain, </w:t>
      </w:r>
      <w:proofErr w:type="spellStart"/>
      <w:r w:rsidRPr="00E5460C">
        <w:rPr>
          <w:lang w:val="en-US"/>
        </w:rPr>
        <w:t>InterPlanetary</w:t>
      </w:r>
      <w:proofErr w:type="spellEnd"/>
      <w:r w:rsidRPr="00E5460C">
        <w:rPr>
          <w:lang w:val="en-US"/>
        </w:rPr>
        <w:t xml:space="preserve"> File System and Health Level 7 Framework for Electronic Health Records. </w:t>
      </w:r>
      <w:r w:rsidRPr="00E5460C">
        <w:rPr>
          <w:i/>
          <w:iCs/>
          <w:lang w:val="en-US"/>
        </w:rPr>
        <w:t xml:space="preserve">International Journal of Online and </w:t>
      </w:r>
      <w:r w:rsidRPr="00E5460C">
        <w:rPr>
          <w:i/>
          <w:iCs/>
          <w:lang w:val="en-US"/>
        </w:rPr>
        <w:lastRenderedPageBreak/>
        <w:t>Biomedical Engineering (</w:t>
      </w:r>
      <w:proofErr w:type="spellStart"/>
      <w:r w:rsidRPr="00E5460C">
        <w:rPr>
          <w:i/>
          <w:iCs/>
          <w:lang w:val="en-US"/>
        </w:rPr>
        <w:t>iJOE</w:t>
      </w:r>
      <w:proofErr w:type="spellEnd"/>
      <w:r w:rsidRPr="00E5460C">
        <w:rPr>
          <w:i/>
          <w:iCs/>
          <w:lang w:val="en-US"/>
        </w:rPr>
        <w:t>), 20</w:t>
      </w:r>
      <w:r w:rsidRPr="00E5460C">
        <w:rPr>
          <w:lang w:val="en-US"/>
        </w:rPr>
        <w:t>(15), 60–78. https://doi.org/10.3991/ijoe.v20i15.51515</w:t>
      </w:r>
    </w:p>
    <w:p w14:paraId="19CC564D" w14:textId="77777777" w:rsidR="00962712" w:rsidRPr="00E5460C" w:rsidRDefault="00BF4269">
      <w:pPr>
        <w:rPr>
          <w:lang w:val="en-US"/>
        </w:rPr>
      </w:pPr>
      <w:r w:rsidRPr="00E5460C">
        <w:rPr>
          <w:lang w:val="en-US"/>
        </w:rPr>
        <w:t xml:space="preserve">Chatterjee, A., Pahari, N., &amp; Prinz, A. (2022). HL7 FHIR with SNOMED-CT to Achieve Semantic and Structural Interoperability in Personal Health Data: A Proof-of-Concept Study. </w:t>
      </w:r>
      <w:r w:rsidRPr="00E5460C">
        <w:rPr>
          <w:i/>
          <w:iCs/>
          <w:lang w:val="en-US"/>
        </w:rPr>
        <w:t>Sensors, 22</w:t>
      </w:r>
      <w:r w:rsidRPr="00E5460C">
        <w:rPr>
          <w:lang w:val="en-US"/>
        </w:rPr>
        <w:t>(10), 3756. https://doi.org/10.3390/s22103756</w:t>
      </w:r>
    </w:p>
    <w:p w14:paraId="4F178783" w14:textId="77777777" w:rsidR="00962712" w:rsidRDefault="00BF4269">
      <w:r w:rsidRPr="00E5460C">
        <w:rPr>
          <w:lang w:val="en-US"/>
        </w:rP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54B687A0" w14:textId="77777777" w:rsidR="00962712" w:rsidRPr="00E5460C" w:rsidRDefault="00BF4269">
      <w:pPr>
        <w:rPr>
          <w:lang w:val="en-US"/>
        </w:rPr>
      </w:pPr>
      <w:proofErr w:type="spellStart"/>
      <w:r>
        <w:t>Fernandez</w:t>
      </w:r>
      <w:proofErr w:type="spellEnd"/>
      <w:r>
        <w:t xml:space="preserve">, M., Pinto, H. A., </w:t>
      </w:r>
      <w:proofErr w:type="spellStart"/>
      <w:r>
        <w:t>Fernandes</w:t>
      </w:r>
      <w:proofErr w:type="spellEnd"/>
      <w:r>
        <w:t xml:space="preserve">, L. M. M., Oliveira, J. A. S., Lima, A. M. F. S., Santana, J. S. S., &amp; </w:t>
      </w:r>
      <w:proofErr w:type="spellStart"/>
      <w:r>
        <w:t>Chioro</w:t>
      </w:r>
      <w:proofErr w:type="spellEnd"/>
      <w:r>
        <w:t xml:space="preserve">, A. (2025). </w:t>
      </w:r>
      <w:r w:rsidRPr="00E5460C">
        <w:rPr>
          <w:lang w:val="en-US"/>
        </w:rPr>
        <w:t xml:space="preserve">Interoperability in universal healthcare systems: Insights from Brazil’s experience integrating primary and hospital health care data. </w:t>
      </w:r>
      <w:r w:rsidRPr="00E5460C">
        <w:rPr>
          <w:i/>
          <w:iCs/>
          <w:lang w:val="en-US"/>
        </w:rPr>
        <w:t>Frontiers in Digital Health, 7</w:t>
      </w:r>
      <w:r w:rsidRPr="00E5460C">
        <w:rPr>
          <w:lang w:val="en-US"/>
        </w:rPr>
        <w:t>, 1622302. https://doi.org/10.3389/fdgth.2025.1622302</w:t>
      </w:r>
    </w:p>
    <w:p w14:paraId="797DF98F" w14:textId="77777777" w:rsidR="00962712" w:rsidRDefault="00BF4269">
      <w:r w:rsidRPr="00E5460C">
        <w:rPr>
          <w:lang w:val="en-US"/>
        </w:rPr>
        <w:t xml:space="preserve">Fernández </w:t>
      </w:r>
      <w:proofErr w:type="spellStart"/>
      <w:r w:rsidRPr="00E5460C">
        <w:rPr>
          <w:lang w:val="en-US"/>
        </w:rPr>
        <w:t>Infanzón</w:t>
      </w:r>
      <w:proofErr w:type="spellEnd"/>
      <w:r w:rsidRPr="00E5460C">
        <w:rPr>
          <w:lang w:val="en-US"/>
        </w:rPr>
        <w:t xml:space="preserve">, L. I., &amp; </w:t>
      </w:r>
      <w:proofErr w:type="spellStart"/>
      <w:r w:rsidRPr="00E5460C">
        <w:rPr>
          <w:lang w:val="en-US"/>
        </w:rPr>
        <w:t>Huarac</w:t>
      </w:r>
      <w:proofErr w:type="spellEnd"/>
      <w:r w:rsidRPr="00E5460C">
        <w:rPr>
          <w:lang w:val="en-US"/>
        </w:rPr>
        <w:t xml:space="preserve"> </w:t>
      </w:r>
      <w:proofErr w:type="spellStart"/>
      <w:r w:rsidRPr="00E5460C">
        <w:rPr>
          <w:lang w:val="en-US"/>
        </w:rPr>
        <w:t>Cuizano</w:t>
      </w:r>
      <w:proofErr w:type="spellEnd"/>
      <w:r w:rsidRPr="00E5460C">
        <w:rPr>
          <w:lang w:val="en-US"/>
        </w:rPr>
        <w:t xml:space="preserve">, Y. M. (2021). </w:t>
      </w:r>
      <w:r>
        <w:rPr>
          <w:i/>
          <w:iCs/>
        </w:rPr>
        <w:t xml:space="preserve">Plan de negocio para integrar a las IPRESS con una plataforma de historia clínica electrónica (HCE) utilizando tecnología </w:t>
      </w:r>
      <w:proofErr w:type="spellStart"/>
      <w:r>
        <w:rPr>
          <w:i/>
          <w:iCs/>
        </w:rPr>
        <w:t>blockchain</w:t>
      </w:r>
      <w:proofErr w:type="spellEnd"/>
      <w:r>
        <w:t xml:space="preserve"> [Tesis de maestría, Universidad ESAN]. Repositorio ESAN. https://hdl.handle.net/20.500.12640/2139</w:t>
      </w:r>
    </w:p>
    <w:p w14:paraId="70DBED7D" w14:textId="77777777" w:rsidR="00962712" w:rsidRPr="00E5460C" w:rsidRDefault="00BF4269">
      <w:pPr>
        <w:rPr>
          <w:lang w:val="en-US"/>
        </w:rPr>
      </w:pPr>
      <w:r>
        <w:t>Gaudet-</w:t>
      </w:r>
      <w:proofErr w:type="spellStart"/>
      <w:r>
        <w:t>Blavignac</w:t>
      </w:r>
      <w:proofErr w:type="spellEnd"/>
      <w:r>
        <w:t xml:space="preserve">, C., </w:t>
      </w:r>
      <w:proofErr w:type="spellStart"/>
      <w:r>
        <w:t>Raisaro</w:t>
      </w:r>
      <w:proofErr w:type="spellEnd"/>
      <w:r>
        <w:t xml:space="preserve">, J. L., Touré, V., </w:t>
      </w:r>
      <w:proofErr w:type="spellStart"/>
      <w:r>
        <w:t>Österle</w:t>
      </w:r>
      <w:proofErr w:type="spellEnd"/>
      <w:r>
        <w:t xml:space="preserve">, S., </w:t>
      </w:r>
      <w:proofErr w:type="spellStart"/>
      <w:r>
        <w:t>Crameri</w:t>
      </w:r>
      <w:proofErr w:type="spellEnd"/>
      <w:r>
        <w:t xml:space="preserve">, K., &amp; Lovis, C. (2021). </w:t>
      </w:r>
      <w:r w:rsidRPr="00E5460C">
        <w:rPr>
          <w:lang w:val="en-US"/>
        </w:rPr>
        <w:t xml:space="preserve">A National, Semantic-Driven, Three-Pillar Strategy to Enable Health Data Secondary Usage Interoperability for Research Within the Swiss Personalized Health Network: Methodological Study. </w:t>
      </w:r>
      <w:r w:rsidRPr="00E5460C">
        <w:rPr>
          <w:i/>
          <w:iCs/>
          <w:lang w:val="en-US"/>
        </w:rPr>
        <w:t>JMIR Medical Informatics, 9</w:t>
      </w:r>
      <w:r w:rsidRPr="00E5460C">
        <w:rPr>
          <w:lang w:val="en-US"/>
        </w:rPr>
        <w:t>(6), e27591. https://doi.org/10.2196/27591</w:t>
      </w:r>
    </w:p>
    <w:p w14:paraId="4032CF11" w14:textId="77777777" w:rsidR="00962712" w:rsidRPr="00E5460C" w:rsidRDefault="00BF4269">
      <w:pPr>
        <w:rPr>
          <w:lang w:val="en-US"/>
        </w:rPr>
      </w:pPr>
      <w:proofErr w:type="spellStart"/>
      <w:r w:rsidRPr="00E5460C">
        <w:rPr>
          <w:lang w:val="en-US"/>
        </w:rPr>
        <w:t>Gazzarata</w:t>
      </w:r>
      <w:proofErr w:type="spellEnd"/>
      <w:r w:rsidRPr="00E5460C">
        <w:rPr>
          <w:lang w:val="en-US"/>
        </w:rPr>
        <w:t xml:space="preserve">, R., Almeida, J., </w:t>
      </w:r>
      <w:proofErr w:type="spellStart"/>
      <w:r w:rsidRPr="00E5460C">
        <w:rPr>
          <w:lang w:val="en-US"/>
        </w:rPr>
        <w:t>Lindsköld</w:t>
      </w:r>
      <w:proofErr w:type="spellEnd"/>
      <w:r w:rsidRPr="00E5460C">
        <w:rPr>
          <w:lang w:val="en-US"/>
        </w:rPr>
        <w:t xml:space="preserve">, L., </w:t>
      </w:r>
      <w:proofErr w:type="spellStart"/>
      <w:r w:rsidRPr="00E5460C">
        <w:rPr>
          <w:lang w:val="en-US"/>
        </w:rPr>
        <w:t>Cangioli</w:t>
      </w:r>
      <w:proofErr w:type="spellEnd"/>
      <w:r w:rsidRPr="00E5460C">
        <w:rPr>
          <w:lang w:val="en-US"/>
        </w:rPr>
        <w:t xml:space="preserve">, G., Gaeta, E., Fico, G., &amp; </w:t>
      </w:r>
      <w:proofErr w:type="spellStart"/>
      <w:r w:rsidRPr="00E5460C">
        <w:rPr>
          <w:lang w:val="en-US"/>
        </w:rPr>
        <w:t>Chronaki</w:t>
      </w:r>
      <w:proofErr w:type="spellEnd"/>
      <w:r w:rsidRPr="00E5460C">
        <w:rPr>
          <w:lang w:val="en-US"/>
        </w:rPr>
        <w:t xml:space="preserve">, C. E. (2024). HL7 Fast Healthcare Interoperability Resources (HL7 FHIR) in digital healthcare ecosystems for chronic disease management: Scoping review. </w:t>
      </w:r>
      <w:r w:rsidRPr="00E5460C">
        <w:rPr>
          <w:i/>
          <w:iCs/>
          <w:lang w:val="en-US"/>
        </w:rPr>
        <w:t>International Journal of Medical Informatics, 189</w:t>
      </w:r>
      <w:r w:rsidRPr="00E5460C">
        <w:rPr>
          <w:lang w:val="en-US"/>
        </w:rPr>
        <w:t>, 105507. https://doi.org/10.1016/j.ijmedinf.2024.105507</w:t>
      </w:r>
    </w:p>
    <w:p w14:paraId="783EA659" w14:textId="77777777" w:rsidR="00962712" w:rsidRPr="00E5460C" w:rsidRDefault="00BF4269">
      <w:pPr>
        <w:rPr>
          <w:lang w:val="en-US"/>
        </w:rPr>
      </w:pPr>
      <w:r>
        <w:t xml:space="preserve">Hernández-Sampieri, R., &amp; Mendoza, C. P. (2018). </w:t>
      </w:r>
      <w:r>
        <w:rPr>
          <w:i/>
          <w:iCs/>
        </w:rPr>
        <w:t>Metodología de la investigación: las rutas cuantitativa, cualitativa y mixta</w:t>
      </w:r>
      <w:r>
        <w:t xml:space="preserve">. </w:t>
      </w:r>
      <w:r w:rsidRPr="00E5460C">
        <w:rPr>
          <w:lang w:val="en-US"/>
        </w:rPr>
        <w:t>McGraw-Hill Education.</w:t>
      </w:r>
    </w:p>
    <w:p w14:paraId="1680A91C" w14:textId="77777777" w:rsidR="00962712" w:rsidRPr="00E5460C" w:rsidRDefault="00BF4269">
      <w:pPr>
        <w:rPr>
          <w:lang w:val="en-US"/>
        </w:rPr>
      </w:pPr>
      <w:proofErr w:type="spellStart"/>
      <w:r w:rsidRPr="00E5460C">
        <w:rPr>
          <w:lang w:val="en-US"/>
        </w:rPr>
        <w:lastRenderedPageBreak/>
        <w:t>Heryawan</w:t>
      </w:r>
      <w:proofErr w:type="spellEnd"/>
      <w:r w:rsidRPr="00E5460C">
        <w:rPr>
          <w:lang w:val="en-US"/>
        </w:rPr>
        <w:t xml:space="preserve">, L., Mori, Y., Yamamoto, G., Kume, N., Lazuardi, L., Fuad, A., &amp; Kuroda, T. (2025). Fast Healthcare Interoperability Resources (FHIR)-Based Interoperability Design in Indonesia: Content Analysis of Developer Hub’s Social Networking Service. </w:t>
      </w:r>
      <w:r w:rsidRPr="00E5460C">
        <w:rPr>
          <w:i/>
          <w:iCs/>
          <w:lang w:val="en-US"/>
        </w:rPr>
        <w:t>JMIR Formative Research, 9</w:t>
      </w:r>
      <w:r w:rsidRPr="00E5460C">
        <w:rPr>
          <w:lang w:val="en-US"/>
        </w:rPr>
        <w:t>, e51270. https://doi.org/10.2196/51270</w:t>
      </w:r>
    </w:p>
    <w:p w14:paraId="60E4458D" w14:textId="77777777" w:rsidR="00962712" w:rsidRPr="00E5460C" w:rsidRDefault="00BF4269">
      <w:pPr>
        <w:rPr>
          <w:lang w:val="en-US"/>
        </w:rPr>
      </w:pPr>
      <w:r w:rsidRPr="00E5460C">
        <w:rPr>
          <w:lang w:val="en-US"/>
        </w:rPr>
        <w:t xml:space="preserve">Holmgren, A. J., </w:t>
      </w:r>
      <w:proofErr w:type="spellStart"/>
      <w:r w:rsidRPr="00E5460C">
        <w:rPr>
          <w:lang w:val="en-US"/>
        </w:rPr>
        <w:t>Esdar</w:t>
      </w:r>
      <w:proofErr w:type="spellEnd"/>
      <w:r w:rsidRPr="00E5460C">
        <w:rPr>
          <w:lang w:val="en-US"/>
        </w:rPr>
        <w:t xml:space="preserve">, M., </w:t>
      </w:r>
      <w:proofErr w:type="spellStart"/>
      <w:r w:rsidRPr="00E5460C">
        <w:rPr>
          <w:lang w:val="en-US"/>
        </w:rPr>
        <w:t>Husers</w:t>
      </w:r>
      <w:proofErr w:type="spellEnd"/>
      <w:r w:rsidRPr="00E5460C">
        <w:rPr>
          <w:lang w:val="en-US"/>
        </w:rPr>
        <w:t xml:space="preserve">, J., &amp; Coutinho-Almeida, J. (2023). Health Information Exchange: Understanding the Policy Landscape and Future of Data Interoperability. </w:t>
      </w:r>
      <w:r w:rsidRPr="00E5460C">
        <w:rPr>
          <w:i/>
          <w:iCs/>
          <w:lang w:val="en-US"/>
        </w:rPr>
        <w:t>Yearbook of Medical Informatics, 32</w:t>
      </w:r>
      <w:r w:rsidRPr="00E5460C">
        <w:rPr>
          <w:lang w:val="en-US"/>
        </w:rPr>
        <w:t>(01), 184-194. https://doi.org/10.1055/s-0043-1768719</w:t>
      </w:r>
    </w:p>
    <w:p w14:paraId="304D1CC6" w14:textId="77777777" w:rsidR="00962712" w:rsidRPr="00E5460C" w:rsidRDefault="00BF4269">
      <w:pPr>
        <w:rPr>
          <w:lang w:val="en-US"/>
        </w:rPr>
      </w:pPr>
      <w:r w:rsidRPr="00E5460C">
        <w:rPr>
          <w:lang w:val="en-US"/>
        </w:rPr>
        <w:t xml:space="preserve">Jayathissa, P., &amp; </w:t>
      </w:r>
      <w:proofErr w:type="spellStart"/>
      <w:r w:rsidRPr="00E5460C">
        <w:rPr>
          <w:lang w:val="en-US"/>
        </w:rPr>
        <w:t>Hewapathrana</w:t>
      </w:r>
      <w:proofErr w:type="spellEnd"/>
      <w:r w:rsidRPr="00E5460C">
        <w:rPr>
          <w:lang w:val="en-US"/>
        </w:rPr>
        <w:t xml:space="preserve">, R. (2024). HAPI-FHIR Server Implementation to Enhancing Interoperability among Primary Care Health Information Systems in Sri Lanka: Review of the Technical Use Case. </w:t>
      </w:r>
      <w:r w:rsidRPr="00E5460C">
        <w:rPr>
          <w:i/>
          <w:iCs/>
          <w:lang w:val="en-US"/>
        </w:rPr>
        <w:t>European Modern Studies Journal, 7</w:t>
      </w:r>
      <w:r w:rsidRPr="00E5460C">
        <w:rPr>
          <w:lang w:val="en-US"/>
        </w:rPr>
        <w:t>(6), 225-241. https://doi.org/10.59573/emsj.7(6).2023.23</w:t>
      </w:r>
    </w:p>
    <w:p w14:paraId="195596A6" w14:textId="77777777" w:rsidR="00962712" w:rsidRPr="00E5460C" w:rsidRDefault="00BF4269">
      <w:pPr>
        <w:rPr>
          <w:lang w:val="en-US"/>
        </w:rPr>
      </w:pPr>
      <w:r w:rsidRPr="00E5460C">
        <w:rPr>
          <w:lang w:val="en-US"/>
        </w:rPr>
        <w:t xml:space="preserve">Kramer, M. A., &amp; </w:t>
      </w:r>
      <w:proofErr w:type="spellStart"/>
      <w:r w:rsidRPr="00E5460C">
        <w:rPr>
          <w:lang w:val="en-US"/>
        </w:rPr>
        <w:t>Moesel</w:t>
      </w:r>
      <w:proofErr w:type="spellEnd"/>
      <w:r w:rsidRPr="00E5460C">
        <w:rPr>
          <w:lang w:val="en-US"/>
        </w:rPr>
        <w:t xml:space="preserve">, C. (2023). Interoperability with multiple Fast Healthcare Interoperability Resources (FHIR) profiles and versions. </w:t>
      </w:r>
      <w:r w:rsidRPr="00E5460C">
        <w:rPr>
          <w:i/>
          <w:iCs/>
          <w:lang w:val="en-US"/>
        </w:rPr>
        <w:t>JAMIA Open, 6</w:t>
      </w:r>
      <w:r w:rsidRPr="00E5460C">
        <w:rPr>
          <w:lang w:val="en-US"/>
        </w:rPr>
        <w:t>(1). https://doi.org/10.1093/jamiaopen/ooad001</w:t>
      </w:r>
    </w:p>
    <w:p w14:paraId="0381130F" w14:textId="77777777" w:rsidR="00962712" w:rsidRDefault="00BF4269">
      <w:r w:rsidRPr="00E5460C">
        <w:rPr>
          <w:lang w:val="en-US"/>
        </w:rPr>
        <w:t xml:space="preserve">Liu, T., Lee, H., &amp; Wu, F. (2023). Building an Electronic Medical Record System Exchanged in FHIR Format and Its Visual Presentation. </w:t>
      </w:r>
      <w:proofErr w:type="spellStart"/>
      <w:r>
        <w:rPr>
          <w:i/>
          <w:iCs/>
        </w:rPr>
        <w:t>Healthcare</w:t>
      </w:r>
      <w:proofErr w:type="spellEnd"/>
      <w:r>
        <w:rPr>
          <w:i/>
          <w:iCs/>
        </w:rPr>
        <w:t>, 11</w:t>
      </w:r>
      <w:r>
        <w:t>(17), 2410. https://doi.org/10.3390/healthcare11172410</w:t>
      </w:r>
    </w:p>
    <w:p w14:paraId="09C4D522" w14:textId="77777777" w:rsidR="00962712" w:rsidRPr="00E5460C" w:rsidRDefault="00BF4269">
      <w:pPr>
        <w:rPr>
          <w:lang w:val="en-US"/>
        </w:rPr>
      </w:pPr>
      <w:r>
        <w:t xml:space="preserve">Mauricio, D., Llanos-Colchado, P. C., Cutipa-Salazar, L. S., Castañeda, P., </w:t>
      </w:r>
      <w:proofErr w:type="spellStart"/>
      <w:r>
        <w:t>Chuquimbalqui-Maslucan</w:t>
      </w:r>
      <w:proofErr w:type="spellEnd"/>
      <w:r>
        <w:t>, R., Rojas-</w:t>
      </w:r>
      <w:proofErr w:type="spellStart"/>
      <w:r>
        <w:t>Mezarina</w:t>
      </w:r>
      <w:proofErr w:type="spellEnd"/>
      <w:r>
        <w:t xml:space="preserve">, L., &amp; Castillo-Sequera, J. L. (2024). </w:t>
      </w:r>
      <w:r w:rsidRPr="00E5460C">
        <w:rPr>
          <w:lang w:val="en-US"/>
        </w:rPr>
        <w:t xml:space="preserve">Electronic Health Record Interoperability System in Peru Using Blockchain. </w:t>
      </w:r>
      <w:r w:rsidRPr="00E5460C">
        <w:rPr>
          <w:i/>
          <w:iCs/>
          <w:lang w:val="en-US"/>
        </w:rPr>
        <w:t>International Journal of Online and Biomedical Engineering (</w:t>
      </w:r>
      <w:proofErr w:type="spellStart"/>
      <w:r w:rsidRPr="00E5460C">
        <w:rPr>
          <w:i/>
          <w:iCs/>
          <w:lang w:val="en-US"/>
        </w:rPr>
        <w:t>iJOE</w:t>
      </w:r>
      <w:proofErr w:type="spellEnd"/>
      <w:r w:rsidRPr="00E5460C">
        <w:rPr>
          <w:i/>
          <w:iCs/>
          <w:lang w:val="en-US"/>
        </w:rPr>
        <w:t>), 20</w:t>
      </w:r>
      <w:r w:rsidRPr="00E5460C">
        <w:rPr>
          <w:lang w:val="en-US"/>
        </w:rPr>
        <w:t>(03), 136-153. https://doi.org/10.3991/ijoe.v20i03.44507</w:t>
      </w:r>
    </w:p>
    <w:p w14:paraId="5F31330B" w14:textId="77777777" w:rsidR="00962712" w:rsidRPr="00E5460C" w:rsidRDefault="00BF4269">
      <w:pPr>
        <w:rPr>
          <w:lang w:val="en-US"/>
        </w:rPr>
      </w:pPr>
      <w:r w:rsidRPr="00E5460C">
        <w:rPr>
          <w:lang w:val="en-US"/>
        </w:rPr>
        <w:t xml:space="preserve">Monsen, K. A., Heermann, L., &amp; Dunn-Lopez, K. (2023). FHIR-up! Advancing knowledge from clinical data through application of standardized nursing terminologies within HL7 FHIR. </w:t>
      </w:r>
      <w:r w:rsidRPr="00E5460C">
        <w:rPr>
          <w:i/>
          <w:iCs/>
          <w:lang w:val="en-US"/>
        </w:rPr>
        <w:t>Journal of the American Medical Informatics Association, 30</w:t>
      </w:r>
      <w:r w:rsidRPr="00E5460C">
        <w:rPr>
          <w:lang w:val="en-US"/>
        </w:rPr>
        <w:t>(11), 1858-1864. https://doi.org/10.1093/jamia/ocad131</w:t>
      </w:r>
    </w:p>
    <w:p w14:paraId="7D8027F3" w14:textId="77777777" w:rsidR="00962712" w:rsidRDefault="00BF4269">
      <w:r>
        <w:t xml:space="preserve">Morales-Camargo, J., &amp; Meneses-Claudio, B. (2023). </w:t>
      </w:r>
      <w:r w:rsidRPr="00E5460C">
        <w:rPr>
          <w:lang w:val="en-US"/>
        </w:rPr>
        <w:t xml:space="preserve">Electronic medical record and its impact on health care and management: A systematic review between the years </w:t>
      </w:r>
      <w:r w:rsidRPr="00E5460C">
        <w:rPr>
          <w:lang w:val="en-US"/>
        </w:rPr>
        <w:lastRenderedPageBreak/>
        <w:t xml:space="preserve">2013 – 2023. </w:t>
      </w:r>
      <w:r>
        <w:rPr>
          <w:i/>
          <w:iCs/>
        </w:rPr>
        <w:t>Salud, Ciencia y Tecnología - Serie de Conferencias, 2</w:t>
      </w:r>
      <w:r>
        <w:t>, 455. https://doi.org/10.56294/sctconf2023455</w:t>
      </w:r>
    </w:p>
    <w:p w14:paraId="38899841" w14:textId="77777777" w:rsidR="00962712" w:rsidRDefault="00BF4269">
      <w:proofErr w:type="spellStart"/>
      <w:r>
        <w:t>Mukhiya</w:t>
      </w:r>
      <w:proofErr w:type="spellEnd"/>
      <w:r>
        <w:t xml:space="preserve">, S. K., &amp; Lamo, Y. (2021). </w:t>
      </w:r>
      <w:r w:rsidRPr="00E5460C">
        <w:rPr>
          <w:lang w:val="en-US"/>
        </w:rPr>
        <w:t xml:space="preserve">An HL7 FHIR and </w:t>
      </w:r>
      <w:proofErr w:type="spellStart"/>
      <w:r w:rsidRPr="00E5460C">
        <w:rPr>
          <w:lang w:val="en-US"/>
        </w:rPr>
        <w:t>GraphQL</w:t>
      </w:r>
      <w:proofErr w:type="spellEnd"/>
      <w:r w:rsidRPr="00E5460C">
        <w:rPr>
          <w:lang w:val="en-US"/>
        </w:rPr>
        <w:t xml:space="preserve"> approach for interoperability between heterogeneous Electronic Health Record systems. </w:t>
      </w:r>
      <w:r>
        <w:rPr>
          <w:i/>
          <w:iCs/>
        </w:rPr>
        <w:t xml:space="preserve">Health </w:t>
      </w:r>
      <w:proofErr w:type="spellStart"/>
      <w:r>
        <w:rPr>
          <w:i/>
          <w:iCs/>
        </w:rPr>
        <w:t>Informatics</w:t>
      </w:r>
      <w:proofErr w:type="spellEnd"/>
      <w:r>
        <w:rPr>
          <w:i/>
          <w:iCs/>
        </w:rPr>
        <w:t xml:space="preserve"> </w:t>
      </w:r>
      <w:proofErr w:type="spellStart"/>
      <w:r>
        <w:rPr>
          <w:i/>
          <w:iCs/>
        </w:rPr>
        <w:t>Journal</w:t>
      </w:r>
      <w:proofErr w:type="spellEnd"/>
      <w:r>
        <w:rPr>
          <w:i/>
          <w:iCs/>
        </w:rPr>
        <w:t>, 27</w:t>
      </w:r>
      <w:r>
        <w:t>(3). https://doi.org/10.1177/14604582211043920</w:t>
      </w:r>
    </w:p>
    <w:p w14:paraId="11A2BC93" w14:textId="77777777" w:rsidR="00962712" w:rsidRDefault="00BF4269">
      <w:r>
        <w:t xml:space="preserve">Organización Panamericana de la Salud (OPS). (2024). </w:t>
      </w:r>
      <w:r>
        <w:rPr>
          <w:i/>
          <w:iCs/>
        </w:rPr>
        <w:t>Guía de implementación de interoperabilidad de sistemas de información en salud</w:t>
      </w:r>
      <w:r>
        <w:t>. OPS.</w:t>
      </w:r>
    </w:p>
    <w:p w14:paraId="2B290767" w14:textId="77777777" w:rsidR="00962712" w:rsidRPr="00E5460C" w:rsidRDefault="00BF4269">
      <w:pPr>
        <w:rPr>
          <w:lang w:val="en-US"/>
        </w:rPr>
      </w:pPr>
      <w:r>
        <w:t xml:space="preserve">Pedrera-Jiménez, M., García-Barrio, N., Frid, S., Moner, D., </w:t>
      </w:r>
      <w:proofErr w:type="spellStart"/>
      <w:r>
        <w:t>Boscá</w:t>
      </w:r>
      <w:proofErr w:type="spellEnd"/>
      <w:r>
        <w:t>-Tomás, D., Lozano-Rubí, R., Kalra, D., Beale, T., Muñoz-Carrero, A., &amp; Serrano-</w:t>
      </w:r>
      <w:proofErr w:type="spellStart"/>
      <w:r>
        <w:t>Balazote</w:t>
      </w:r>
      <w:proofErr w:type="spellEnd"/>
      <w:r>
        <w:t xml:space="preserve">, P. (2023). </w:t>
      </w:r>
      <w:r w:rsidRPr="00E5460C">
        <w:rPr>
          <w:lang w:val="en-US"/>
        </w:rPr>
        <w:t xml:space="preserve">Can </w:t>
      </w:r>
      <w:proofErr w:type="spellStart"/>
      <w:r w:rsidRPr="00E5460C">
        <w:rPr>
          <w:lang w:val="en-US"/>
        </w:rPr>
        <w:t>OpenEHR</w:t>
      </w:r>
      <w:proofErr w:type="spellEnd"/>
      <w:r w:rsidRPr="00E5460C">
        <w:rPr>
          <w:lang w:val="en-US"/>
        </w:rPr>
        <w:t xml:space="preserve">, ISO 13606, and HL7 FHIR Work Together? An Agnostic Approach for the Selection and Application of Electronic Health Record Standards to the Next-Generation Health Data Spaces. </w:t>
      </w:r>
      <w:r w:rsidRPr="00E5460C">
        <w:rPr>
          <w:i/>
          <w:iCs/>
          <w:lang w:val="en-US"/>
        </w:rPr>
        <w:t>Journal of Medical Internet Research, 25</w:t>
      </w:r>
      <w:r w:rsidRPr="00E5460C">
        <w:rPr>
          <w:lang w:val="en-US"/>
        </w:rPr>
        <w:t>, e48702. https://doi.org/10.2196/48702</w:t>
      </w:r>
    </w:p>
    <w:p w14:paraId="600DD681" w14:textId="77777777" w:rsidR="00962712" w:rsidRPr="00E5460C" w:rsidRDefault="00BF4269">
      <w:pPr>
        <w:rPr>
          <w:lang w:val="en-US"/>
        </w:rPr>
      </w:pPr>
      <w:r w:rsidRPr="00E5460C">
        <w:rPr>
          <w:lang w:val="en-US"/>
        </w:rPr>
        <w:t xml:space="preserve">Pimenta, N., Chaves, A., Sousa, R., </w:t>
      </w:r>
      <w:proofErr w:type="spellStart"/>
      <w:r w:rsidRPr="00E5460C">
        <w:rPr>
          <w:lang w:val="en-US"/>
        </w:rPr>
        <w:t>Abelha</w:t>
      </w:r>
      <w:proofErr w:type="spellEnd"/>
      <w:r w:rsidRPr="00E5460C">
        <w:rPr>
          <w:lang w:val="en-US"/>
        </w:rPr>
        <w:t xml:space="preserve">, A., &amp; Peixoto, H. (2023). Interoperability of Clinical Data through FHIR: A review. </w:t>
      </w:r>
      <w:r w:rsidRPr="00E5460C">
        <w:rPr>
          <w:i/>
          <w:iCs/>
          <w:lang w:val="en-US"/>
        </w:rPr>
        <w:t>Procedia Computer Science, 220</w:t>
      </w:r>
      <w:r w:rsidRPr="00E5460C">
        <w:rPr>
          <w:lang w:val="en-US"/>
        </w:rPr>
        <w:t>, 856-861. https://doi.org/10.1016/j.procs.2023.03.115</w:t>
      </w:r>
    </w:p>
    <w:p w14:paraId="0DEAF5C6" w14:textId="77777777" w:rsidR="00962712" w:rsidRPr="00E5460C" w:rsidRDefault="00BF4269">
      <w:pPr>
        <w:rPr>
          <w:lang w:val="en-US"/>
        </w:rPr>
      </w:pPr>
      <w:r>
        <w:t xml:space="preserve">Porras Gamarra, H. J. (2024). </w:t>
      </w:r>
      <w:r>
        <w:rPr>
          <w:i/>
          <w:iCs/>
        </w:rPr>
        <w:t xml:space="preserve">Implementación de un sistema de interoperabilidad de información clínica basado en los estándares internacionales HL7 FHIR y </w:t>
      </w:r>
      <w:proofErr w:type="spellStart"/>
      <w:r>
        <w:rPr>
          <w:i/>
          <w:iCs/>
        </w:rPr>
        <w:t>openEHR</w:t>
      </w:r>
      <w:proofErr w:type="spellEnd"/>
      <w:r>
        <w:t xml:space="preserve"> [Trabajo de suficiencia profesional, Universidad Nacional Federico Villarreal]. </w:t>
      </w:r>
      <w:proofErr w:type="spellStart"/>
      <w:r w:rsidRPr="00E5460C">
        <w:rPr>
          <w:lang w:val="en-US"/>
        </w:rPr>
        <w:t>Repositorio</w:t>
      </w:r>
      <w:proofErr w:type="spellEnd"/>
      <w:r w:rsidRPr="00E5460C">
        <w:rPr>
          <w:lang w:val="en-US"/>
        </w:rPr>
        <w:t xml:space="preserve"> UNFV.</w:t>
      </w:r>
    </w:p>
    <w:p w14:paraId="09E3576B" w14:textId="77777777" w:rsidR="00962712" w:rsidRPr="00E5460C" w:rsidRDefault="00BF4269">
      <w:pPr>
        <w:rPr>
          <w:lang w:val="en-US"/>
        </w:rPr>
      </w:pPr>
      <w:r w:rsidRPr="00E5460C">
        <w:rPr>
          <w:lang w:val="en-US"/>
        </w:rPr>
        <w:t xml:space="preserve">Raab, R., </w:t>
      </w:r>
      <w:proofErr w:type="spellStart"/>
      <w:r w:rsidRPr="00E5460C">
        <w:rPr>
          <w:lang w:val="en-US"/>
        </w:rPr>
        <w:t>Kuderle</w:t>
      </w:r>
      <w:proofErr w:type="spellEnd"/>
      <w:r w:rsidRPr="00E5460C">
        <w:rPr>
          <w:lang w:val="en-US"/>
        </w:rPr>
        <w:t xml:space="preserve">, A., </w:t>
      </w:r>
      <w:proofErr w:type="spellStart"/>
      <w:r w:rsidRPr="00E5460C">
        <w:rPr>
          <w:lang w:val="en-US"/>
        </w:rPr>
        <w:t>Zakreuskaya</w:t>
      </w:r>
      <w:proofErr w:type="spellEnd"/>
      <w:r w:rsidRPr="00E5460C">
        <w:rPr>
          <w:lang w:val="en-US"/>
        </w:rPr>
        <w:t xml:space="preserve">, A., Stern, A. D., </w:t>
      </w:r>
      <w:proofErr w:type="spellStart"/>
      <w:r w:rsidRPr="00E5460C">
        <w:rPr>
          <w:lang w:val="en-US"/>
        </w:rPr>
        <w:t>Klucken</w:t>
      </w:r>
      <w:proofErr w:type="spellEnd"/>
      <w:r w:rsidRPr="00E5460C">
        <w:rPr>
          <w:lang w:val="en-US"/>
        </w:rPr>
        <w:t xml:space="preserve">, J., </w:t>
      </w:r>
      <w:proofErr w:type="spellStart"/>
      <w:r w:rsidRPr="00E5460C">
        <w:rPr>
          <w:lang w:val="en-US"/>
        </w:rPr>
        <w:t>Kaissis</w:t>
      </w:r>
      <w:proofErr w:type="spellEnd"/>
      <w:r w:rsidRPr="00E5460C">
        <w:rPr>
          <w:lang w:val="en-US"/>
        </w:rPr>
        <w:t xml:space="preserve">, G., Rueckert, D., Boll, S., </w:t>
      </w:r>
      <w:proofErr w:type="spellStart"/>
      <w:r w:rsidRPr="00E5460C">
        <w:rPr>
          <w:lang w:val="en-US"/>
        </w:rPr>
        <w:t>Eils</w:t>
      </w:r>
      <w:proofErr w:type="spellEnd"/>
      <w:r w:rsidRPr="00E5460C">
        <w:rPr>
          <w:lang w:val="en-US"/>
        </w:rPr>
        <w:t xml:space="preserve">, R., Wagener, H., &amp; </w:t>
      </w:r>
      <w:proofErr w:type="spellStart"/>
      <w:r w:rsidRPr="00E5460C">
        <w:rPr>
          <w:lang w:val="en-US"/>
        </w:rPr>
        <w:t>Eskofier</w:t>
      </w:r>
      <w:proofErr w:type="spellEnd"/>
      <w:r w:rsidRPr="00E5460C">
        <w:rPr>
          <w:lang w:val="en-US"/>
        </w:rPr>
        <w:t xml:space="preserve">, B. M. (2023). Federated electronic health records for the European Health Data Space. </w:t>
      </w:r>
      <w:r w:rsidRPr="00E5460C">
        <w:rPr>
          <w:i/>
          <w:iCs/>
          <w:lang w:val="en-US"/>
        </w:rPr>
        <w:t>The Lancet Digital Health, 5</w:t>
      </w:r>
      <w:r w:rsidRPr="00E5460C">
        <w:rPr>
          <w:lang w:val="en-US"/>
        </w:rPr>
        <w:t>(11), e840-e847. https://doi.org/10.1016/S2589-7500(23)00156-5</w:t>
      </w:r>
    </w:p>
    <w:p w14:paraId="719D56F8" w14:textId="77777777" w:rsidR="00962712" w:rsidRPr="00E5460C" w:rsidRDefault="00BF4269">
      <w:pPr>
        <w:rPr>
          <w:lang w:val="en-US"/>
        </w:rPr>
      </w:pPr>
      <w:r w:rsidRPr="00E5460C">
        <w:rPr>
          <w:lang w:val="en-US"/>
        </w:rPr>
        <w:t xml:space="preserve">Richwine, C., Strawley, C., Chang, W., &amp; Everson, J. (2025). Assessing the value of health information exchange organizations to hospital interoperability. </w:t>
      </w:r>
      <w:r w:rsidRPr="00E5460C">
        <w:rPr>
          <w:i/>
          <w:iCs/>
          <w:lang w:val="en-US"/>
        </w:rPr>
        <w:t>Health Affairs Scholar, 3</w:t>
      </w:r>
      <w:r w:rsidRPr="00E5460C">
        <w:rPr>
          <w:lang w:val="en-US"/>
        </w:rPr>
        <w:t>(7). https://doi.org/10.1093/haschl/qxaf133</w:t>
      </w:r>
    </w:p>
    <w:p w14:paraId="3C1E63A7" w14:textId="77777777" w:rsidR="00962712" w:rsidRPr="00E5460C" w:rsidRDefault="00BF4269">
      <w:pPr>
        <w:rPr>
          <w:lang w:val="en-US"/>
        </w:rPr>
      </w:pPr>
      <w:r w:rsidRPr="00E5460C">
        <w:rPr>
          <w:lang w:val="en-US"/>
        </w:rPr>
        <w:t xml:space="preserve">Sánchez Calle, D. I. (2024). </w:t>
      </w:r>
      <w:r>
        <w:rPr>
          <w:i/>
          <w:iCs/>
        </w:rPr>
        <w:t>Arquitectura y requisitos de una historia clínica electrónica ocupacional según las normas ISO 18308:2011 e ISO 13606:2019</w:t>
      </w:r>
      <w:r>
        <w:t xml:space="preserve"> </w:t>
      </w:r>
      <w:r>
        <w:lastRenderedPageBreak/>
        <w:t xml:space="preserve">[Tesis de maestría, Universidad Peruana Cayetano Heredia]. </w:t>
      </w:r>
      <w:proofErr w:type="spellStart"/>
      <w:r w:rsidRPr="00E5460C">
        <w:rPr>
          <w:lang w:val="en-US"/>
        </w:rPr>
        <w:t>Repositorio</w:t>
      </w:r>
      <w:proofErr w:type="spellEnd"/>
      <w:r w:rsidRPr="00E5460C">
        <w:rPr>
          <w:lang w:val="en-US"/>
        </w:rPr>
        <w:t xml:space="preserve"> UPCH. https://hdl.handle.net/20.500.12866/17191</w:t>
      </w:r>
    </w:p>
    <w:p w14:paraId="74E1C55F" w14:textId="77777777" w:rsidR="00962712" w:rsidRPr="00E5460C" w:rsidRDefault="00BF4269">
      <w:pPr>
        <w:rPr>
          <w:lang w:val="en-US"/>
        </w:rPr>
      </w:pPr>
      <w:r w:rsidRPr="00E5460C">
        <w:rPr>
          <w:lang w:val="en-US"/>
        </w:rPr>
        <w:t xml:space="preserve">Surisetty, L. S. (2026). End-to-End Clinical Data Interoperability: A Practical Implementation Blueprint Using HL7, FHIR, CCD, and EHR Integration Standards. </w:t>
      </w:r>
      <w:r w:rsidRPr="00E5460C">
        <w:rPr>
          <w:i/>
          <w:iCs/>
          <w:lang w:val="en-US"/>
        </w:rPr>
        <w:t xml:space="preserve">International Journal of Multidisciplinary and Scientific Emerging </w:t>
      </w:r>
      <w:proofErr w:type="spellStart"/>
      <w:r w:rsidRPr="00E5460C">
        <w:rPr>
          <w:i/>
          <w:iCs/>
          <w:lang w:val="en-US"/>
        </w:rPr>
        <w:t>ResearcH</w:t>
      </w:r>
      <w:proofErr w:type="spellEnd"/>
      <w:r w:rsidRPr="00E5460C">
        <w:rPr>
          <w:i/>
          <w:iCs/>
          <w:lang w:val="en-US"/>
        </w:rPr>
        <w:t>, 14</w:t>
      </w:r>
      <w:r w:rsidRPr="00E5460C">
        <w:rPr>
          <w:lang w:val="en-US"/>
        </w:rPr>
        <w:t>(1). https://doi.org/10.15662/ijmserh.2026.1401004</w:t>
      </w:r>
    </w:p>
    <w:p w14:paraId="145DC733" w14:textId="77777777" w:rsidR="00962712" w:rsidRPr="00E5460C" w:rsidRDefault="00BF4269">
      <w:pPr>
        <w:rPr>
          <w:lang w:val="en-US"/>
        </w:rPr>
      </w:pPr>
      <w:r>
        <w:t xml:space="preserve">Tabari, P., Costagliola, G., De Rosa, M., &amp; Boeker, M. (2024). </w:t>
      </w:r>
      <w:r w:rsidRPr="00E5460C">
        <w:rPr>
          <w:lang w:val="en-US"/>
        </w:rPr>
        <w:t xml:space="preserve">State-of-the-Art Fast Healthcare Interoperability Resources (FHIR)-Based Data Model and Structure Implementations: Systematic Scoping Review. </w:t>
      </w:r>
      <w:r w:rsidRPr="00E5460C">
        <w:rPr>
          <w:i/>
          <w:iCs/>
          <w:lang w:val="en-US"/>
        </w:rPr>
        <w:t>JMIR Medical Informatics, 12</w:t>
      </w:r>
      <w:r w:rsidRPr="00E5460C">
        <w:rPr>
          <w:lang w:val="en-US"/>
        </w:rPr>
        <w:t>, e58445. https://doi.org/10.2196/58445</w:t>
      </w:r>
    </w:p>
    <w:p w14:paraId="6CAFA267" w14:textId="77777777" w:rsidR="00962712" w:rsidRPr="00E5460C" w:rsidRDefault="00BF4269">
      <w:pPr>
        <w:rPr>
          <w:lang w:val="en-US"/>
        </w:rPr>
      </w:pPr>
      <w:proofErr w:type="spellStart"/>
      <w:r w:rsidRPr="00E5460C">
        <w:rPr>
          <w:lang w:val="en-US"/>
        </w:rPr>
        <w:t>Torab-Miandoab</w:t>
      </w:r>
      <w:proofErr w:type="spellEnd"/>
      <w:r w:rsidRPr="00E5460C">
        <w:rPr>
          <w:lang w:val="en-US"/>
        </w:rPr>
        <w:t xml:space="preserve">, A., Samad-Soltani, T., </w:t>
      </w:r>
      <w:proofErr w:type="spellStart"/>
      <w:r w:rsidRPr="00E5460C">
        <w:rPr>
          <w:lang w:val="en-US"/>
        </w:rPr>
        <w:t>Jodati</w:t>
      </w:r>
      <w:proofErr w:type="spellEnd"/>
      <w:r w:rsidRPr="00E5460C">
        <w:rPr>
          <w:lang w:val="en-US"/>
        </w:rPr>
        <w:t>, A., &amp; Rezaei-</w:t>
      </w:r>
      <w:proofErr w:type="spellStart"/>
      <w:r w:rsidRPr="00E5460C">
        <w:rPr>
          <w:lang w:val="en-US"/>
        </w:rPr>
        <w:t>Hachesu</w:t>
      </w:r>
      <w:proofErr w:type="spellEnd"/>
      <w:r w:rsidRPr="00E5460C">
        <w:rPr>
          <w:lang w:val="en-US"/>
        </w:rPr>
        <w:t xml:space="preserve">, P. (2023). Interoperability of heterogeneous health information systems: A systematic literature review. </w:t>
      </w:r>
      <w:r w:rsidRPr="00E5460C">
        <w:rPr>
          <w:i/>
          <w:iCs/>
          <w:lang w:val="en-US"/>
        </w:rPr>
        <w:t>BMC Medical Informatics and Decision Making, 23</w:t>
      </w:r>
      <w:r w:rsidRPr="00E5460C">
        <w:rPr>
          <w:lang w:val="en-US"/>
        </w:rPr>
        <w:t>(1). https://doi.org/10.1186/s12911-023-02115-5</w:t>
      </w:r>
    </w:p>
    <w:p w14:paraId="28F63012" w14:textId="77777777" w:rsidR="00962712" w:rsidRDefault="00BF4269">
      <w:r w:rsidRPr="00E5460C">
        <w:rPr>
          <w:lang w:val="en-US"/>
        </w:rPr>
        <w:t xml:space="preserve">Vorisek, C. N., Lehne, M., Klopfenstein, S. A. I., Mayer, P. J., </w:t>
      </w:r>
      <w:proofErr w:type="spellStart"/>
      <w:r w:rsidRPr="00E5460C">
        <w:rPr>
          <w:lang w:val="en-US"/>
        </w:rPr>
        <w:t>Bartschke</w:t>
      </w:r>
      <w:proofErr w:type="spellEnd"/>
      <w:r w:rsidRPr="00E5460C">
        <w:rPr>
          <w:lang w:val="en-US"/>
        </w:rPr>
        <w:t xml:space="preserve">, A., Haese, T., &amp; Thun, S. (2022). Fast Healthcare Interoperability Resources (FHIR) for Interoperability in Health Research: Systematic Review. </w:t>
      </w:r>
      <w:r>
        <w:rPr>
          <w:i/>
          <w:iCs/>
        </w:rPr>
        <w:t xml:space="preserve">JMIR Medical </w:t>
      </w:r>
      <w:proofErr w:type="spellStart"/>
      <w:r>
        <w:rPr>
          <w:i/>
          <w:iCs/>
        </w:rPr>
        <w:t>Informatics</w:t>
      </w:r>
      <w:proofErr w:type="spellEnd"/>
      <w:r>
        <w:rPr>
          <w:i/>
          <w:iCs/>
        </w:rPr>
        <w:t>, 10</w:t>
      </w:r>
      <w:r>
        <w:t>(7), e35724. https://doi.org/10.2196/35724</w:t>
      </w:r>
      <w:bookmarkEnd w:id="80"/>
    </w:p>
    <w:sectPr w:rsidR="00962712" w:rsidSect="008D367B">
      <w:footerReference w:type="even" r:id="rId19"/>
      <w:footerReference w:type="default" r:id="rId20"/>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F60A4" w14:textId="77777777" w:rsidR="003558FE" w:rsidRDefault="003558FE">
      <w:pPr>
        <w:spacing w:after="0" w:line="240" w:lineRule="auto"/>
      </w:pPr>
      <w:r>
        <w:separator/>
      </w:r>
    </w:p>
  </w:endnote>
  <w:endnote w:type="continuationSeparator" w:id="0">
    <w:p w14:paraId="2405E419" w14:textId="77777777" w:rsidR="003558FE" w:rsidRDefault="0035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Content>
      <w:p w14:paraId="715753EF"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3E3BFA80"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Content>
      <w:p w14:paraId="60541BC3"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15B9E26E"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80134" w14:textId="77777777" w:rsidR="003558FE" w:rsidRDefault="003558FE">
      <w:pPr>
        <w:spacing w:after="0" w:line="240" w:lineRule="auto"/>
      </w:pPr>
      <w:r>
        <w:separator/>
      </w:r>
    </w:p>
  </w:footnote>
  <w:footnote w:type="continuationSeparator" w:id="0">
    <w:p w14:paraId="290EB31D" w14:textId="77777777" w:rsidR="003558FE" w:rsidRDefault="00355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A0A36"/>
    <w:multiLevelType w:val="multilevel"/>
    <w:tmpl w:val="EEDC2AC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8BB4362"/>
    <w:multiLevelType w:val="multilevel"/>
    <w:tmpl w:val="EEDC2AC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4"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31"/>
  </w:num>
  <w:num w:numId="2" w16cid:durableId="1390376911">
    <w:abstractNumId w:val="25"/>
  </w:num>
  <w:num w:numId="3" w16cid:durableId="1237860153">
    <w:abstractNumId w:val="25"/>
    <w:lvlOverride w:ilvl="1">
      <w:lvl w:ilvl="1">
        <w:numFmt w:val="upperLetter"/>
        <w:lvlText w:val="%2."/>
        <w:lvlJc w:val="left"/>
      </w:lvl>
    </w:lvlOverride>
  </w:num>
  <w:num w:numId="4" w16cid:durableId="263998615">
    <w:abstractNumId w:val="36"/>
    <w:lvlOverride w:ilvl="0">
      <w:lvl w:ilvl="0">
        <w:numFmt w:val="decimal"/>
        <w:lvlText w:val="%1."/>
        <w:lvlJc w:val="left"/>
      </w:lvl>
    </w:lvlOverride>
  </w:num>
  <w:num w:numId="5" w16cid:durableId="696546944">
    <w:abstractNumId w:val="41"/>
    <w:lvlOverride w:ilvl="0">
      <w:lvl w:ilvl="0">
        <w:numFmt w:val="decimal"/>
        <w:lvlText w:val="%1."/>
        <w:lvlJc w:val="left"/>
      </w:lvl>
    </w:lvlOverride>
  </w:num>
  <w:num w:numId="6" w16cid:durableId="1225140524">
    <w:abstractNumId w:val="15"/>
    <w:lvlOverride w:ilvl="0">
      <w:lvl w:ilvl="0">
        <w:numFmt w:val="decimal"/>
        <w:lvlText w:val="%1."/>
        <w:lvlJc w:val="left"/>
      </w:lvl>
    </w:lvlOverride>
  </w:num>
  <w:num w:numId="7" w16cid:durableId="256639534">
    <w:abstractNumId w:val="49"/>
  </w:num>
  <w:num w:numId="8" w16cid:durableId="1598320894">
    <w:abstractNumId w:val="12"/>
    <w:lvlOverride w:ilvl="0">
      <w:lvl w:ilvl="0">
        <w:numFmt w:val="decimal"/>
        <w:lvlText w:val="%1."/>
        <w:lvlJc w:val="left"/>
      </w:lvl>
    </w:lvlOverride>
  </w:num>
  <w:num w:numId="9" w16cid:durableId="392123586">
    <w:abstractNumId w:val="26"/>
    <w:lvlOverride w:ilvl="0">
      <w:lvl w:ilvl="0">
        <w:numFmt w:val="decimal"/>
        <w:lvlText w:val="%1."/>
        <w:lvlJc w:val="left"/>
      </w:lvl>
    </w:lvlOverride>
  </w:num>
  <w:num w:numId="10" w16cid:durableId="6641366">
    <w:abstractNumId w:val="17"/>
  </w:num>
  <w:num w:numId="11" w16cid:durableId="2063366616">
    <w:abstractNumId w:val="29"/>
    <w:lvlOverride w:ilvl="0">
      <w:lvl w:ilvl="0">
        <w:numFmt w:val="decimal"/>
        <w:lvlText w:val="%1."/>
        <w:lvlJc w:val="left"/>
      </w:lvl>
    </w:lvlOverride>
  </w:num>
  <w:num w:numId="12" w16cid:durableId="1606159542">
    <w:abstractNumId w:val="30"/>
  </w:num>
  <w:num w:numId="13" w16cid:durableId="1009867538">
    <w:abstractNumId w:val="7"/>
    <w:lvlOverride w:ilvl="0">
      <w:lvl w:ilvl="0">
        <w:numFmt w:val="decimal"/>
        <w:lvlText w:val="%1."/>
        <w:lvlJc w:val="left"/>
      </w:lvl>
    </w:lvlOverride>
  </w:num>
  <w:num w:numId="14" w16cid:durableId="1254433587">
    <w:abstractNumId w:val="14"/>
    <w:lvlOverride w:ilvl="0">
      <w:lvl w:ilvl="0">
        <w:numFmt w:val="decimal"/>
        <w:lvlText w:val="%1."/>
        <w:lvlJc w:val="left"/>
      </w:lvl>
    </w:lvlOverride>
  </w:num>
  <w:num w:numId="15" w16cid:durableId="1163008642">
    <w:abstractNumId w:val="23"/>
    <w:lvlOverride w:ilvl="0">
      <w:lvl w:ilvl="0">
        <w:numFmt w:val="decimal"/>
        <w:lvlText w:val="%1."/>
        <w:lvlJc w:val="left"/>
      </w:lvl>
    </w:lvlOverride>
  </w:num>
  <w:num w:numId="16" w16cid:durableId="1783303035">
    <w:abstractNumId w:val="27"/>
    <w:lvlOverride w:ilvl="0">
      <w:lvl w:ilvl="0">
        <w:numFmt w:val="decimal"/>
        <w:lvlText w:val="%1."/>
        <w:lvlJc w:val="left"/>
      </w:lvl>
    </w:lvlOverride>
  </w:num>
  <w:num w:numId="17" w16cid:durableId="392628889">
    <w:abstractNumId w:val="19"/>
  </w:num>
  <w:num w:numId="18" w16cid:durableId="536619930">
    <w:abstractNumId w:val="35"/>
    <w:lvlOverride w:ilvl="0">
      <w:lvl w:ilvl="0">
        <w:numFmt w:val="decimal"/>
        <w:lvlText w:val="%1."/>
        <w:lvlJc w:val="left"/>
      </w:lvl>
    </w:lvlOverride>
  </w:num>
  <w:num w:numId="19" w16cid:durableId="238248572">
    <w:abstractNumId w:val="47"/>
  </w:num>
  <w:num w:numId="20" w16cid:durableId="2010524344">
    <w:abstractNumId w:val="28"/>
  </w:num>
  <w:num w:numId="21" w16cid:durableId="694233983">
    <w:abstractNumId w:val="44"/>
  </w:num>
  <w:num w:numId="22" w16cid:durableId="1886331865">
    <w:abstractNumId w:val="2"/>
  </w:num>
  <w:num w:numId="23" w16cid:durableId="2034376111">
    <w:abstractNumId w:val="40"/>
  </w:num>
  <w:num w:numId="24" w16cid:durableId="1979064939">
    <w:abstractNumId w:val="5"/>
  </w:num>
  <w:num w:numId="25" w16cid:durableId="1094670359">
    <w:abstractNumId w:val="46"/>
  </w:num>
  <w:num w:numId="26" w16cid:durableId="399207934">
    <w:abstractNumId w:val="33"/>
  </w:num>
  <w:num w:numId="27" w16cid:durableId="1105076517">
    <w:abstractNumId w:val="45"/>
  </w:num>
  <w:num w:numId="28" w16cid:durableId="725832434">
    <w:abstractNumId w:val="38"/>
  </w:num>
  <w:num w:numId="29" w16cid:durableId="1716732114">
    <w:abstractNumId w:val="8"/>
  </w:num>
  <w:num w:numId="30" w16cid:durableId="413742449">
    <w:abstractNumId w:val="24"/>
  </w:num>
  <w:num w:numId="31" w16cid:durableId="460465327">
    <w:abstractNumId w:val="20"/>
  </w:num>
  <w:num w:numId="32" w16cid:durableId="511648548">
    <w:abstractNumId w:val="34"/>
  </w:num>
  <w:num w:numId="33" w16cid:durableId="2048723748">
    <w:abstractNumId w:val="43"/>
  </w:num>
  <w:num w:numId="34" w16cid:durableId="513686215">
    <w:abstractNumId w:val="37"/>
  </w:num>
  <w:num w:numId="35" w16cid:durableId="686564936">
    <w:abstractNumId w:val="16"/>
  </w:num>
  <w:num w:numId="36" w16cid:durableId="1136604756">
    <w:abstractNumId w:val="42"/>
  </w:num>
  <w:num w:numId="37" w16cid:durableId="813567044">
    <w:abstractNumId w:val="4"/>
  </w:num>
  <w:num w:numId="38" w16cid:durableId="715005352">
    <w:abstractNumId w:val="10"/>
  </w:num>
  <w:num w:numId="39" w16cid:durableId="1064645248">
    <w:abstractNumId w:val="39"/>
  </w:num>
  <w:num w:numId="40" w16cid:durableId="1511796036">
    <w:abstractNumId w:val="6"/>
  </w:num>
  <w:num w:numId="41" w16cid:durableId="1468427407">
    <w:abstractNumId w:val="9"/>
  </w:num>
  <w:num w:numId="42" w16cid:durableId="2122995671">
    <w:abstractNumId w:val="3"/>
  </w:num>
  <w:num w:numId="43" w16cid:durableId="2024165722">
    <w:abstractNumId w:val="32"/>
  </w:num>
  <w:num w:numId="44" w16cid:durableId="2039815615">
    <w:abstractNumId w:val="11"/>
  </w:num>
  <w:num w:numId="45" w16cid:durableId="966620593">
    <w:abstractNumId w:val="18"/>
  </w:num>
  <w:num w:numId="46" w16cid:durableId="1745487902">
    <w:abstractNumId w:val="48"/>
  </w:num>
  <w:num w:numId="47" w16cid:durableId="76289578">
    <w:abstractNumId w:val="22"/>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1779981780">
    <w:abstractNumId w:val="13"/>
  </w:num>
  <w:num w:numId="59" w16cid:durableId="1761564967">
    <w:abstractNumId w:val="13"/>
  </w:num>
  <w:num w:numId="60" w16cid:durableId="16898642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123165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531646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5043664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022522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356625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153220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0695763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151873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19144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B6768"/>
    <w:rsid w:val="000C46B6"/>
    <w:rsid w:val="000D2F63"/>
    <w:rsid w:val="0010269F"/>
    <w:rsid w:val="001220BF"/>
    <w:rsid w:val="001364BE"/>
    <w:rsid w:val="001A2B3F"/>
    <w:rsid w:val="001C64DD"/>
    <w:rsid w:val="00214546"/>
    <w:rsid w:val="00260F3B"/>
    <w:rsid w:val="002769D8"/>
    <w:rsid w:val="002803BC"/>
    <w:rsid w:val="00295BAF"/>
    <w:rsid w:val="002A1CDE"/>
    <w:rsid w:val="002C42A5"/>
    <w:rsid w:val="002D4E50"/>
    <w:rsid w:val="00353A4B"/>
    <w:rsid w:val="003558FE"/>
    <w:rsid w:val="003C2F73"/>
    <w:rsid w:val="004003B4"/>
    <w:rsid w:val="0040097A"/>
    <w:rsid w:val="00415D80"/>
    <w:rsid w:val="00435889"/>
    <w:rsid w:val="004B1BC6"/>
    <w:rsid w:val="004B7604"/>
    <w:rsid w:val="004D34C0"/>
    <w:rsid w:val="004D4CA8"/>
    <w:rsid w:val="005A2841"/>
    <w:rsid w:val="005F0D40"/>
    <w:rsid w:val="006071A8"/>
    <w:rsid w:val="0062797C"/>
    <w:rsid w:val="00643094"/>
    <w:rsid w:val="006878FB"/>
    <w:rsid w:val="006A2734"/>
    <w:rsid w:val="006A6110"/>
    <w:rsid w:val="006F33B7"/>
    <w:rsid w:val="00702477"/>
    <w:rsid w:val="00731B03"/>
    <w:rsid w:val="00786BA2"/>
    <w:rsid w:val="007A2F22"/>
    <w:rsid w:val="00802F31"/>
    <w:rsid w:val="008152C2"/>
    <w:rsid w:val="00824F5D"/>
    <w:rsid w:val="00844F8B"/>
    <w:rsid w:val="008B5187"/>
    <w:rsid w:val="008C59AB"/>
    <w:rsid w:val="008D367B"/>
    <w:rsid w:val="008F63DF"/>
    <w:rsid w:val="00932567"/>
    <w:rsid w:val="00962712"/>
    <w:rsid w:val="00973509"/>
    <w:rsid w:val="009943B3"/>
    <w:rsid w:val="009A34F1"/>
    <w:rsid w:val="009D1B82"/>
    <w:rsid w:val="00A134DE"/>
    <w:rsid w:val="00A57D65"/>
    <w:rsid w:val="00AA0350"/>
    <w:rsid w:val="00B464E1"/>
    <w:rsid w:val="00B50B91"/>
    <w:rsid w:val="00B76F68"/>
    <w:rsid w:val="00BB0F6B"/>
    <w:rsid w:val="00BB3DDD"/>
    <w:rsid w:val="00BD3538"/>
    <w:rsid w:val="00BF4269"/>
    <w:rsid w:val="00C0476A"/>
    <w:rsid w:val="00C15E14"/>
    <w:rsid w:val="00C5661C"/>
    <w:rsid w:val="00C85D1C"/>
    <w:rsid w:val="00CA2DF1"/>
    <w:rsid w:val="00CA7350"/>
    <w:rsid w:val="00CD090C"/>
    <w:rsid w:val="00CE222A"/>
    <w:rsid w:val="00CE2C66"/>
    <w:rsid w:val="00D90084"/>
    <w:rsid w:val="00DC68E5"/>
    <w:rsid w:val="00DD2C64"/>
    <w:rsid w:val="00E5181F"/>
    <w:rsid w:val="00E5460C"/>
    <w:rsid w:val="00E615E3"/>
    <w:rsid w:val="00EB70C8"/>
    <w:rsid w:val="00ED762C"/>
    <w:rsid w:val="00F25BFF"/>
    <w:rsid w:val="00F4132A"/>
    <w:rsid w:val="00F45D69"/>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AF971"/>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abladeilustraciones">
    <w:name w:val="table of figures"/>
    <w:basedOn w:val="Normal"/>
    <w:next w:val="Normal"/>
    <w:uiPriority w:val="99"/>
    <w:unhideWhenUsed/>
    <w:rsid w:val="00F45D6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68</Pages>
  <Words>20840</Words>
  <Characters>114624</Characters>
  <Application>Microsoft Office Word</Application>
  <DocSecurity>0</DocSecurity>
  <Lines>955</Lines>
  <Paragraphs>270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9</cp:revision>
  <dcterms:created xsi:type="dcterms:W3CDTF">2026-03-27T21:50:00Z</dcterms:created>
  <dcterms:modified xsi:type="dcterms:W3CDTF">2026-04-01T04:05:00Z</dcterms:modified>
</cp:coreProperties>
</file>