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problema-unificado-de-investigación"/>
    <w:p>
      <w:pPr>
        <w:pStyle w:val="Heading1"/>
      </w:pPr>
      <w:r>
        <w:t xml:space="preserve">Problema unificado de investigación</w:t>
      </w:r>
    </w:p>
    <w:bookmarkStart w:id="9" w:name="título-propuesto"/>
    <w:p>
      <w:pPr>
        <w:pStyle w:val="Heading2"/>
      </w:pPr>
      <w:r>
        <w:t xml:space="preserve">Título propuesto</w:t>
      </w:r>
    </w:p>
    <w:p>
      <w:pPr>
        <w:pStyle w:val="FirstParagraph"/>
      </w:pPr>
      <w:r>
        <w:t xml:space="preserve">Modelo híbrido de diagnóstico e implementación de interoperabilidad basado en HL7 FHIR para la mejora de la gestión de historias clínicas de pacientes que tienen SIS en centros de salud MINSA en Lima.</w:t>
      </w:r>
    </w:p>
    <w:bookmarkEnd w:id="9"/>
    <w:bookmarkStart w:id="10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Esta investigación adopta un</w:t>
      </w:r>
      <w:r>
        <w:t xml:space="preserve"> </w:t>
      </w:r>
      <w:r>
        <w:rPr>
          <w:b/>
          <w:bCs/>
        </w:rPr>
        <w:t xml:space="preserve">enfoque híbrido de tres fases</w:t>
      </w:r>
      <w:r>
        <w:t xml:space="preserve"> </w:t>
      </w:r>
      <w:r>
        <w:t xml:space="preserve">(diagnóstico → implementación → evaluación) para abordar las deficiencias de interoperabilidad en centros de salud MINSA del ámbito SIS en Lima. Aunque el Perú cuenta con un marco normativo que define arquitectura (RNIEDS/PIDESALUD), estándares de intercambio (HL7, DICOM), codificación (CIE-10, CPMS) y catálogos IEDS, persiste una brecha entre norma y ejecución que se manifiesta en historias clínicas fragmentadas, duplicidad de registros y exámenes, demoras en validación administrativa y riesgos de error clínico.</w:t>
      </w:r>
    </w:p>
    <w:p>
      <w:pPr>
        <w:pStyle w:val="BodyText"/>
      </w:pPr>
      <w:r>
        <w:t xml:space="preserve">El modelo híbrido supera las limitaciones de un enfoque puramente diagnóstico (que describe la brecha pero no la cierra) o puramente implementador (que carece de línea base para medir impacto). Al integrar ambos, la investigación: (1) diagnostica las brechas reales de interoperabilidad, (2) diseña e implementa una capa piloto de integración HL7 FHIR que atiende las brechas críticas, y (3) evalúa cuantitativamente el impacto pre/post en la calidad de gestión de historias clínicas.</w:t>
      </w:r>
    </w:p>
    <w:bookmarkEnd w:id="10"/>
    <w:bookmarkStart w:id="11" w:name="formulación-integrada-del-problema"/>
    <w:p>
      <w:pPr>
        <w:pStyle w:val="Heading2"/>
      </w:pPr>
      <w:r>
        <w:t xml:space="preserve">Formulación integrada del problema</w:t>
      </w:r>
    </w:p>
    <w:p>
      <w:pPr>
        <w:pStyle w:val="FirstParagraph"/>
      </w:pPr>
      <w:r>
        <w:t xml:space="preserve">Los centros de salud del MINSA presentan deficiencias en la interoperabilidad de sus sistemas de información y en la gestión de historias clínicas de pacientes afiliados al SIS, pese a la existencia del marco normativo RM N° 1104-2018-MINSA, RM N° 464-2019-MINSA y RM N° 1193-2019-MINSA. La persistencia de sistemas heredados, la implementación parcial de estándares de comunicación e integración (HL7, DICOM), el uso inconsistente de codificación clínica (CIE-10, CPMS), las brechas de conexión a PIDESALUD, las debilidades de gobernanza y normalización de datos (IEDS), y las limitaciones de infraestructura, talento y presupuesto ocasionan fragmentación y pérdida de información clínica, duplicidad de registros y exámenes, demoras asistenciales, dificultades en la validación administrativa y facturación SIS, mayor riesgo de errores médicos e insatisfacción del paciente.</w:t>
      </w:r>
    </w:p>
    <w:p>
      <w:pPr>
        <w:pStyle w:val="BodyText"/>
      </w:pPr>
      <w:r>
        <w:t xml:space="preserve">Ante esta situación, se requiere un modelo híbrido que no solo diagnostique las brechas existentes, sino que proponga e implemente una solución tecnológica concreta — una capa de integración basada en HL7 FHIR — y mida su efecto real en la calidad de gestión de las historias clínicas, generando evidencia para su escalamiento a nivel sectorial.</w:t>
      </w:r>
    </w:p>
    <w:bookmarkEnd w:id="11"/>
    <w:bookmarkStart w:id="12" w:name="pregunta-general-de-investigación"/>
    <w:p>
      <w:pPr>
        <w:pStyle w:val="Heading2"/>
      </w:pPr>
      <w:r>
        <w:t xml:space="preserve">Pregunta general de investigación</w:t>
      </w:r>
    </w:p>
    <w:p>
      <w:pPr>
        <w:pStyle w:val="FirstParagraph"/>
      </w:pPr>
      <w:r>
        <w:t xml:space="preserve">¿De qué manera un modelo híbrido que integre el diagnóstico de brechas de interoperabilidad y la implementación piloto de una capa de integración basada en HL7 FHIR permitirá mejorar la gestión de historias clínicas de pacientes SIS en centros de salud del MINSA en Lima?</w:t>
      </w:r>
    </w:p>
    <w:bookmarkEnd w:id="12"/>
    <w:bookmarkStart w:id="13" w:name="preguntas-específicas-de-investigación"/>
    <w:p>
      <w:pPr>
        <w:pStyle w:val="Heading2"/>
      </w:pPr>
      <w:r>
        <w:t xml:space="preserve">Preguntas específicas de investigación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diagnóstica:</w:t>
      </w:r>
      <w:r>
        <w:t xml:space="preserve"> </w:t>
      </w:r>
      <w:r>
        <w:t xml:space="preserve">¿Cuál es el nivel actual de cumplimiento de los estándares de interoperabilidad (RNIEDS, PIDESALUD, HL7, CIE-10, CPMS) en centros de salud MINSA del ámbito SIS en Lima y qué brechas críticas existen en la gestión de historias clínicas?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de implementación:</w:t>
      </w:r>
      <w:r>
        <w:t xml:space="preserve"> </w:t>
      </w:r>
      <w:r>
        <w:t xml:space="preserve">¿Cómo diseñar e implementar una capa de integración basada en HL7 FHIR que atienda las brechas de interoperabilidad identificadas en el diagnóstico?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de evaluación:</w:t>
      </w:r>
      <w:r>
        <w:t xml:space="preserve"> </w:t>
      </w:r>
      <w:r>
        <w:t xml:space="preserve">¿En qué medida la implementación piloto de la capa de integración FHIR mejora la integridad, continuidad y calidad de las historias clínicas de pacientes SIS respecto a la línea base diagnóstica?</w:t>
      </w:r>
    </w:p>
    <w:bookmarkEnd w:id="13"/>
    <w:bookmarkStart w:id="14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Mejorar la gestión de historias clínicas de pacientes SIS en centros de salud MINSA en Lima mediante un modelo híbrido que diagnostique las brechas de interoperabilidad e implemente una capa piloto de integración basada en HL7 FHIR.</w:t>
      </w:r>
    </w:p>
    <w:bookmarkEnd w:id="14"/>
    <w:bookmarkStart w:id="15" w:name="objetivos-específicos"/>
    <w:p>
      <w:pPr>
        <w:pStyle w:val="Heading2"/>
      </w:pPr>
      <w:r>
        <w:t xml:space="preserve">Objetivos específicos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OE1 (Diagnóstico):</w:t>
      </w:r>
      <w:r>
        <w:t xml:space="preserve"> </w:t>
      </w:r>
      <w:r>
        <w:t xml:space="preserve">Determinar el nivel de cumplimiento de los estándares de interoperabilidad (RNIEDS, PIDESALUD, HL7, CIE-10, CPMS) y levantar una línea base de calidad de gestión de HCE en los establecimientos seleccionados.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OE2 (Implementación):</w:t>
      </w:r>
      <w:r>
        <w:t xml:space="preserve"> </w:t>
      </w:r>
      <w:r>
        <w:t xml:space="preserve">Diseñar e implementar una capa piloto de integración basada en HL7 FHIR que atienda las brechas críticas identificadas en el diagnóstico.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OE3 (Evaluación):</w:t>
      </w:r>
      <w:r>
        <w:t xml:space="preserve"> </w:t>
      </w:r>
      <w:r>
        <w:t xml:space="preserve">Evaluar el impacto de la implementación piloto comparando los indicadores de calidad de gestión de HCE antes y después de la intervención.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OE4 (Escalabilidad):</w:t>
      </w:r>
      <w:r>
        <w:t xml:space="preserve"> </w:t>
      </w:r>
      <w:r>
        <w:t xml:space="preserve">Formular lineamientos y lecciones aprendidas para el escalamiento del modelo a otros establecimientos MINSA.</w:t>
      </w:r>
    </w:p>
    <w:bookmarkEnd w:id="15"/>
    <w:bookmarkStart w:id="16" w:name="hipótesis-de-trabajo"/>
    <w:p>
      <w:pPr>
        <w:pStyle w:val="Heading2"/>
      </w:pPr>
      <w:r>
        <w:t xml:space="preserve">Hipótesis de trabajo</w:t>
      </w:r>
    </w:p>
    <w:p>
      <w:pPr>
        <w:pStyle w:val="FirstParagraph"/>
      </w:pPr>
      <w:r>
        <w:rPr>
          <w:b/>
          <w:bCs/>
        </w:rPr>
        <w:t xml:space="preserve">Hipótesis general:</w:t>
      </w:r>
      <w:r>
        <w:t xml:space="preserve"> </w:t>
      </w:r>
      <w:r>
        <w:t xml:space="preserve">La implementación piloto de una capa de integración basada en HL7 FHIR, diseñada a partir del diagnóstico de brechas de interoperabilidad, mejora significativamente la calidad de gestión de historias clínicas de pacientes SIS en centros de salud MINSA en Lima.</w:t>
      </w:r>
    </w:p>
    <w:p>
      <w:pPr>
        <w:pStyle w:val="BodyText"/>
      </w:pPr>
      <w:r>
        <w:rPr>
          <w:b/>
          <w:bCs/>
        </w:rPr>
        <w:t xml:space="preserve">Hipótesis específicas: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Los centros de salud MINSA del ámbito SIS en Lima presentan un nivel de cumplimiento inferior al 50 % en al menos tres de las cinco dimensiones de interoperabilidad evaluadas.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H2:</w:t>
      </w:r>
      <w:r>
        <w:t xml:space="preserve"> </w:t>
      </w:r>
      <w:r>
        <w:t xml:space="preserve">La capa de integración FHIR piloto es técnicamente viable de implementar con los recursos disponibles en establecimientos MINSA de nivel I y II.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H3:</w:t>
      </w:r>
      <w:r>
        <w:t xml:space="preserve"> </w:t>
      </w:r>
      <w:r>
        <w:t xml:space="preserve">Después de la implementación piloto, los indicadores de completitud, codificación correcta y continuidad de atención de las HCE mejoran en al menos un 20 % respecto a la línea base.</w:t>
      </w:r>
    </w:p>
    <w:bookmarkEnd w:id="16"/>
    <w:bookmarkStart w:id="20" w:name="base-normativa-nacional-consolidada"/>
    <w:p>
      <w:pPr>
        <w:pStyle w:val="Heading2"/>
      </w:pPr>
      <w:r>
        <w:t xml:space="preserve">Base normativa nacional consolidada</w:t>
      </w:r>
    </w:p>
    <w:bookmarkStart w:id="17" w:name="resolución-ministerial-n-1104-2018-minsa"/>
    <w:p>
      <w:pPr>
        <w:pStyle w:val="Heading3"/>
      </w:pPr>
      <w:r>
        <w:t xml:space="preserve">Resolución Ministerial N° 1104-2018-MINSA</w:t>
      </w:r>
    </w:p>
    <w:p>
      <w:pPr>
        <w:pStyle w:val="Compact"/>
        <w:numPr>
          <w:ilvl w:val="0"/>
          <w:numId w:val="1004"/>
        </w:numPr>
      </w:pPr>
      <w:r>
        <w:t xml:space="preserve">Rol: crea la infraestructura base de interoperabilidad sectorial.</w:t>
      </w:r>
    </w:p>
    <w:p>
      <w:pPr>
        <w:pStyle w:val="Compact"/>
        <w:numPr>
          <w:ilvl w:val="0"/>
          <w:numId w:val="1004"/>
        </w:numPr>
      </w:pPr>
      <w:r>
        <w:t xml:space="preserve">Componentes clave: RNIEDS y PIDESALUD.</w:t>
      </w:r>
    </w:p>
    <w:p>
      <w:pPr>
        <w:pStyle w:val="Compact"/>
        <w:numPr>
          <w:ilvl w:val="0"/>
          <w:numId w:val="1004"/>
        </w:numPr>
      </w:pPr>
      <w:r>
        <w:t xml:space="preserve">Contribución al problema: define el soporte estructural para intercambio de datos y consulta de catálogos estándar.</w:t>
      </w:r>
    </w:p>
    <w:bookmarkEnd w:id="17"/>
    <w:bookmarkStart w:id="18" w:name="resolución-ministerial-n-464-2019-minsa"/>
    <w:p>
      <w:pPr>
        <w:pStyle w:val="Heading3"/>
      </w:pPr>
      <w:r>
        <w:t xml:space="preserve">Resolución Ministerial N° 464-2019-MINSA</w:t>
      </w:r>
    </w:p>
    <w:p>
      <w:pPr>
        <w:pStyle w:val="Compact"/>
        <w:numPr>
          <w:ilvl w:val="0"/>
          <w:numId w:val="1005"/>
        </w:numPr>
      </w:pPr>
      <w:r>
        <w:t xml:space="preserve">Rol: regula la interoperabilidad en sistemas de información asistenciales.</w:t>
      </w:r>
    </w:p>
    <w:p>
      <w:pPr>
        <w:pStyle w:val="Compact"/>
        <w:numPr>
          <w:ilvl w:val="0"/>
          <w:numId w:val="1005"/>
        </w:numPr>
      </w:pPr>
      <w:r>
        <w:t xml:space="preserve">Instrumento técnico: Directiva Administrativa N° 266-MINSA/2019/OGTI.</w:t>
      </w:r>
    </w:p>
    <w:p>
      <w:pPr>
        <w:pStyle w:val="Compact"/>
        <w:numPr>
          <w:ilvl w:val="0"/>
          <w:numId w:val="1005"/>
        </w:numPr>
      </w:pPr>
      <w:r>
        <w:t xml:space="preserve">Alcance: entidades públicas y privadas vinculadas al sistema de salud, según la directiva.</w:t>
      </w:r>
    </w:p>
    <w:p>
      <w:pPr>
        <w:pStyle w:val="Compact"/>
        <w:numPr>
          <w:ilvl w:val="0"/>
          <w:numId w:val="1005"/>
        </w:numPr>
      </w:pPr>
      <w:r>
        <w:t xml:space="preserve">Contribución al problema: convierte los requisitos técnicos y de proceso en obligaciones de implementación.</w:t>
      </w:r>
    </w:p>
    <w:bookmarkEnd w:id="18"/>
    <w:bookmarkStart w:id="19" w:name="resolución-ministerial-n-1193-2019-minsa"/>
    <w:p>
      <w:pPr>
        <w:pStyle w:val="Heading3"/>
      </w:pPr>
      <w:r>
        <w:t xml:space="preserve">Resolución Ministerial N° 1193-2019-MINSA</w:t>
      </w:r>
    </w:p>
    <w:p>
      <w:pPr>
        <w:pStyle w:val="Compact"/>
        <w:numPr>
          <w:ilvl w:val="0"/>
          <w:numId w:val="1006"/>
        </w:numPr>
      </w:pPr>
      <w:r>
        <w:t xml:space="preserve">Rol: aprueba catálogos IEDS para estandarización semántica.</w:t>
      </w:r>
    </w:p>
    <w:p>
      <w:pPr>
        <w:pStyle w:val="Compact"/>
        <w:numPr>
          <w:ilvl w:val="0"/>
          <w:numId w:val="1006"/>
        </w:numPr>
      </w:pPr>
      <w:r>
        <w:t xml:space="preserve">Componentes críticos: identificación de persona, establecimiento, procedimientos y medicamentos.</w:t>
      </w:r>
    </w:p>
    <w:p>
      <w:pPr>
        <w:pStyle w:val="Compact"/>
        <w:numPr>
          <w:ilvl w:val="0"/>
          <w:numId w:val="1006"/>
        </w:numPr>
      </w:pPr>
      <w:r>
        <w:t xml:space="preserve">Contribución al problema: reduce ambiguedad semántica, error de codificación y no comparabilidad de datos.</w:t>
      </w:r>
    </w:p>
    <w:bookmarkEnd w:id="19"/>
    <w:bookmarkEnd w:id="20"/>
    <w:bookmarkStart w:id="24" w:name="X88631bb277a28148ed9b924bd27c60a0ad81b7c"/>
    <w:p>
      <w:pPr>
        <w:pStyle w:val="Heading2"/>
      </w:pPr>
      <w:r>
        <w:t xml:space="preserve">Arquitectura funcional del modelo normativo</w:t>
      </w:r>
    </w:p>
    <w:bookmarkStart w:id="21" w:name="rnieds-repositorio-maestro-semántico"/>
    <w:p>
      <w:pPr>
        <w:pStyle w:val="Heading3"/>
      </w:pPr>
      <w:r>
        <w:t xml:space="preserve">RNIEDS (repositorio maestro semántico)</w:t>
      </w:r>
    </w:p>
    <w:p>
      <w:pPr>
        <w:pStyle w:val="Compact"/>
        <w:numPr>
          <w:ilvl w:val="0"/>
          <w:numId w:val="1007"/>
        </w:numPr>
      </w:pPr>
      <w:r>
        <w:t xml:space="preserve">Función: repositorio de identificaciones estándar para uniformizar vocabulario clínico-administrativo.</w:t>
      </w:r>
    </w:p>
    <w:p>
      <w:pPr>
        <w:pStyle w:val="Compact"/>
        <w:numPr>
          <w:ilvl w:val="0"/>
          <w:numId w:val="1007"/>
        </w:numPr>
      </w:pPr>
      <w:r>
        <w:t xml:space="preserve">Resultado esperado: consistencia semántica en captura, transmisión y consumo de datos.</w:t>
      </w:r>
    </w:p>
    <w:bookmarkEnd w:id="21"/>
    <w:bookmarkStart w:id="22" w:name="pidesalud-plataforma-de-intercambio"/>
    <w:p>
      <w:pPr>
        <w:pStyle w:val="Heading3"/>
      </w:pPr>
      <w:r>
        <w:t xml:space="preserve">PIDESALUD (plataforma de intercambio)</w:t>
      </w:r>
    </w:p>
    <w:p>
      <w:pPr>
        <w:pStyle w:val="Compact"/>
        <w:numPr>
          <w:ilvl w:val="0"/>
          <w:numId w:val="1008"/>
        </w:numPr>
      </w:pPr>
      <w:r>
        <w:t xml:space="preserve">Función: habilitar interoperabilidad entre instituciones mediante servicios de intercambio/consulta.</w:t>
      </w:r>
    </w:p>
    <w:p>
      <w:pPr>
        <w:pStyle w:val="Compact"/>
        <w:numPr>
          <w:ilvl w:val="0"/>
          <w:numId w:val="1008"/>
        </w:numPr>
      </w:pPr>
      <w:r>
        <w:t xml:space="preserve">Resultado esperado: circulación oportuna y segura de información clínica relevante.</w:t>
      </w:r>
    </w:p>
    <w:bookmarkEnd w:id="22"/>
    <w:bookmarkStart w:id="23" w:name="relación-operativa-entre-componentes"/>
    <w:p>
      <w:pPr>
        <w:pStyle w:val="Heading3"/>
      </w:pPr>
      <w:r>
        <w:t xml:space="preserve">Relación operativa entre componentes</w:t>
      </w:r>
    </w:p>
    <w:p>
      <w:pPr>
        <w:pStyle w:val="Compact"/>
        <w:numPr>
          <w:ilvl w:val="0"/>
          <w:numId w:val="1009"/>
        </w:numPr>
      </w:pPr>
      <w:r>
        <w:t xml:space="preserve">RNIEDS aporta el contenido estandarizado (catálogos, identificadores).</w:t>
      </w:r>
    </w:p>
    <w:p>
      <w:pPr>
        <w:pStyle w:val="Compact"/>
        <w:numPr>
          <w:ilvl w:val="0"/>
          <w:numId w:val="1009"/>
        </w:numPr>
      </w:pPr>
      <w:r>
        <w:t xml:space="preserve">PIDESALUD aporta el mecanismo de intercambio entre sistemas heterogéneos.</w:t>
      </w:r>
    </w:p>
    <w:p>
      <w:pPr>
        <w:pStyle w:val="Compact"/>
        <w:numPr>
          <w:ilvl w:val="0"/>
          <w:numId w:val="1009"/>
        </w:numPr>
      </w:pPr>
      <w:r>
        <w:t xml:space="preserve">La combinación de ambos habilita continuidad de atención y trazabilidad clínica-administrativa.</w:t>
      </w:r>
    </w:p>
    <w:bookmarkEnd w:id="23"/>
    <w:bookmarkEnd w:id="24"/>
    <w:bookmarkStart w:id="30" w:name="Xe796b88ab11c0768db56f8856d311bae356742e"/>
    <w:p>
      <w:pPr>
        <w:pStyle w:val="Heading2"/>
      </w:pPr>
      <w:r>
        <w:t xml:space="preserve">Niveles de interoperabilidad y su traducción operativa</w:t>
      </w:r>
    </w:p>
    <w:bookmarkStart w:id="25" w:name="interoperabilidad-organizativa"/>
    <w:p>
      <w:pPr>
        <w:pStyle w:val="Heading3"/>
      </w:pPr>
      <w:r>
        <w:t xml:space="preserve">Interoperabilidad organizativa</w:t>
      </w:r>
    </w:p>
    <w:p>
      <w:pPr>
        <w:pStyle w:val="Compact"/>
        <w:numPr>
          <w:ilvl w:val="0"/>
          <w:numId w:val="1010"/>
        </w:numPr>
      </w:pPr>
      <w:r>
        <w:t xml:space="preserve">Alineación de procesos asistenciales y administrativos entre instituciones.</w:t>
      </w:r>
    </w:p>
    <w:p>
      <w:pPr>
        <w:pStyle w:val="Compact"/>
        <w:numPr>
          <w:ilvl w:val="0"/>
          <w:numId w:val="1010"/>
        </w:numPr>
      </w:pPr>
      <w:r>
        <w:t xml:space="preserve">Necesidad de gobernanza, roles claros y acuerdos de intercambio.</w:t>
      </w:r>
    </w:p>
    <w:bookmarkEnd w:id="25"/>
    <w:bookmarkStart w:id="26" w:name="interoperabilidad-de-comunicación"/>
    <w:p>
      <w:pPr>
        <w:pStyle w:val="Heading3"/>
      </w:pPr>
      <w:r>
        <w:t xml:space="preserve">Interoperabilidad de comunicación</w:t>
      </w:r>
    </w:p>
    <w:p>
      <w:pPr>
        <w:pStyle w:val="Compact"/>
        <w:numPr>
          <w:ilvl w:val="0"/>
          <w:numId w:val="1011"/>
        </w:numPr>
      </w:pPr>
      <w:r>
        <w:t xml:space="preserve">Uso de estándares de intercambio de información clínica.</w:t>
      </w:r>
    </w:p>
    <w:p>
      <w:pPr>
        <w:pStyle w:val="Compact"/>
        <w:numPr>
          <w:ilvl w:val="0"/>
          <w:numId w:val="1011"/>
        </w:numPr>
      </w:pPr>
      <w:r>
        <w:t xml:space="preserve">Estándares mencionados en el marco trabajado: HL7 para mensajería y DICOM para imágenes.</w:t>
      </w:r>
    </w:p>
    <w:bookmarkEnd w:id="26"/>
    <w:bookmarkStart w:id="27" w:name="interoperabilidad-semántica-codificación"/>
    <w:p>
      <w:pPr>
        <w:pStyle w:val="Heading3"/>
      </w:pPr>
      <w:r>
        <w:t xml:space="preserve">Interoperabilidad semántica (codificación)</w:t>
      </w:r>
    </w:p>
    <w:p>
      <w:pPr>
        <w:pStyle w:val="Compact"/>
        <w:numPr>
          <w:ilvl w:val="0"/>
          <w:numId w:val="1012"/>
        </w:numPr>
      </w:pPr>
      <w:r>
        <w:t xml:space="preserve">Uso de catálogos y codificaciones para que el significado del dato se conserve entre sistemas.</w:t>
      </w:r>
    </w:p>
    <w:p>
      <w:pPr>
        <w:pStyle w:val="Compact"/>
        <w:numPr>
          <w:ilvl w:val="0"/>
          <w:numId w:val="1012"/>
        </w:numPr>
      </w:pPr>
      <w:r>
        <w:t xml:space="preserve">Elementos centrales: CIE-10 para diagnósticos y CPMS para procedimientos.</w:t>
      </w:r>
    </w:p>
    <w:bookmarkEnd w:id="27"/>
    <w:bookmarkStart w:id="28" w:name="interoperabilidad-de-proceso-y-seguridad"/>
    <w:p>
      <w:pPr>
        <w:pStyle w:val="Heading3"/>
      </w:pPr>
      <w:r>
        <w:t xml:space="preserve">Interoperabilidad de proceso y seguridad</w:t>
      </w:r>
    </w:p>
    <w:p>
      <w:pPr>
        <w:pStyle w:val="Compact"/>
        <w:numPr>
          <w:ilvl w:val="0"/>
          <w:numId w:val="1013"/>
        </w:numPr>
      </w:pPr>
      <w:r>
        <w:t xml:space="preserve">Reglas de acceso, privacidad, trazabilidad y control de tratamiento de datos personales.</w:t>
      </w:r>
    </w:p>
    <w:p>
      <w:pPr>
        <w:pStyle w:val="Compact"/>
        <w:numPr>
          <w:ilvl w:val="0"/>
          <w:numId w:val="1013"/>
        </w:numPr>
      </w:pPr>
      <w:r>
        <w:t xml:space="preserve">Vinculación con normativa nacional de protección de datos y seguridad de la información.</w:t>
      </w:r>
    </w:p>
    <w:bookmarkEnd w:id="28"/>
    <w:bookmarkStart w:id="29" w:name="interoperabilidad-de-dispositivo"/>
    <w:p>
      <w:pPr>
        <w:pStyle w:val="Heading3"/>
      </w:pPr>
      <w:r>
        <w:t xml:space="preserve">Interoperabilidad de dispositivo</w:t>
      </w:r>
    </w:p>
    <w:p>
      <w:pPr>
        <w:pStyle w:val="Compact"/>
        <w:numPr>
          <w:ilvl w:val="0"/>
          <w:numId w:val="1014"/>
        </w:numPr>
      </w:pPr>
      <w:r>
        <w:t xml:space="preserve">Condiciones tecnológicas de captura en punto de atención (equipos, conectividad, periféricos).</w:t>
      </w:r>
    </w:p>
    <w:p>
      <w:pPr>
        <w:pStyle w:val="Compact"/>
        <w:numPr>
          <w:ilvl w:val="0"/>
          <w:numId w:val="1014"/>
        </w:numPr>
      </w:pPr>
      <w:r>
        <w:t xml:space="preserve">Implica capacidad real de registrar datos completos y oportunos en campo.</w:t>
      </w:r>
    </w:p>
    <w:bookmarkEnd w:id="29"/>
    <w:bookmarkEnd w:id="30"/>
    <w:bookmarkStart w:id="35" w:name="Xf1202a5d47566d7c23a4e817785fcf11b23c82d"/>
    <w:p>
      <w:pPr>
        <w:pStyle w:val="Heading2"/>
      </w:pPr>
      <w:r>
        <w:t xml:space="preserve">Catálogos IEDS críticos para historia clínica SIS-MINSA</w:t>
      </w:r>
    </w:p>
    <w:bookmarkStart w:id="31" w:name="identificación-de-paciente"/>
    <w:p>
      <w:pPr>
        <w:pStyle w:val="Heading3"/>
      </w:pPr>
      <w:r>
        <w:t xml:space="preserve">Identificación de paciente</w:t>
      </w:r>
    </w:p>
    <w:p>
      <w:pPr>
        <w:pStyle w:val="Compact"/>
        <w:numPr>
          <w:ilvl w:val="0"/>
          <w:numId w:val="1015"/>
        </w:numPr>
      </w:pPr>
      <w:r>
        <w:t xml:space="preserve">Claves: DNI o Carnet de Extranjeria.</w:t>
      </w:r>
    </w:p>
    <w:p>
      <w:pPr>
        <w:pStyle w:val="Compact"/>
        <w:numPr>
          <w:ilvl w:val="0"/>
          <w:numId w:val="1015"/>
        </w:numPr>
      </w:pPr>
      <w:r>
        <w:t xml:space="preserve">Integraciones esperadas: validación con fuentes oficiales (RENIEC/Migraciones).</w:t>
      </w:r>
    </w:p>
    <w:p>
      <w:pPr>
        <w:pStyle w:val="Compact"/>
        <w:numPr>
          <w:ilvl w:val="0"/>
          <w:numId w:val="1015"/>
        </w:numPr>
      </w:pPr>
      <w:r>
        <w:t xml:space="preserve">Riesgo de no cumplimiento: duplicidad de identidad y errores en continuidad clínica.</w:t>
      </w:r>
    </w:p>
    <w:bookmarkEnd w:id="31"/>
    <w:bookmarkStart w:id="32" w:name="identificación-de-establecimiento"/>
    <w:p>
      <w:pPr>
        <w:pStyle w:val="Heading3"/>
      </w:pPr>
      <w:r>
        <w:t xml:space="preserve">Identificación de establecimiento</w:t>
      </w:r>
    </w:p>
    <w:p>
      <w:pPr>
        <w:pStyle w:val="Compact"/>
        <w:numPr>
          <w:ilvl w:val="0"/>
          <w:numId w:val="1016"/>
        </w:numPr>
      </w:pPr>
      <w:r>
        <w:t xml:space="preserve">Clave: código de establecimiento (RENAES).</w:t>
      </w:r>
    </w:p>
    <w:p>
      <w:pPr>
        <w:pStyle w:val="Compact"/>
        <w:numPr>
          <w:ilvl w:val="0"/>
          <w:numId w:val="1016"/>
        </w:numPr>
      </w:pPr>
      <w:r>
        <w:t xml:space="preserve">Riesgo de no cumplimiento: trazabilidad institucional débil y problemas de referencia/contrarreferencia.</w:t>
      </w:r>
    </w:p>
    <w:bookmarkEnd w:id="32"/>
    <w:bookmarkStart w:id="33" w:name="procedimientos-médicos"/>
    <w:p>
      <w:pPr>
        <w:pStyle w:val="Heading3"/>
      </w:pPr>
      <w:r>
        <w:t xml:space="preserve">Procedimientos médicos</w:t>
      </w:r>
    </w:p>
    <w:p>
      <w:pPr>
        <w:pStyle w:val="Compact"/>
        <w:numPr>
          <w:ilvl w:val="0"/>
          <w:numId w:val="1017"/>
        </w:numPr>
      </w:pPr>
      <w:r>
        <w:t xml:space="preserve">Clave: codificación CPMS.</w:t>
      </w:r>
    </w:p>
    <w:p>
      <w:pPr>
        <w:pStyle w:val="Compact"/>
        <w:numPr>
          <w:ilvl w:val="0"/>
          <w:numId w:val="1017"/>
        </w:numPr>
      </w:pPr>
      <w:r>
        <w:t xml:space="preserve">Riesgo de no cumplimiento: inconsistencia de registro y observaciones en procesos SIS.</w:t>
      </w:r>
    </w:p>
    <w:bookmarkEnd w:id="33"/>
    <w:bookmarkStart w:id="34" w:name="medicamentos"/>
    <w:p>
      <w:pPr>
        <w:pStyle w:val="Heading3"/>
      </w:pPr>
      <w:r>
        <w:t xml:space="preserve">Medicamentos</w:t>
      </w:r>
    </w:p>
    <w:p>
      <w:pPr>
        <w:pStyle w:val="Compact"/>
        <w:numPr>
          <w:ilvl w:val="0"/>
          <w:numId w:val="1018"/>
        </w:numPr>
      </w:pPr>
      <w:r>
        <w:t xml:space="preserve">Clave: códigos alineados al marco de DIGEMID.</w:t>
      </w:r>
    </w:p>
    <w:p>
      <w:pPr>
        <w:pStyle w:val="Compact"/>
        <w:numPr>
          <w:ilvl w:val="0"/>
          <w:numId w:val="1018"/>
        </w:numPr>
      </w:pPr>
      <w:r>
        <w:t xml:space="preserve">Riesgo de no cumplimiento: errores de prescripción, dispensación y seguimiento farmacoterapéutico.</w:t>
      </w:r>
    </w:p>
    <w:bookmarkEnd w:id="34"/>
    <w:bookmarkEnd w:id="35"/>
    <w:bookmarkStart w:id="39" w:name="actores-y-responsabilidades-esperadas"/>
    <w:p>
      <w:pPr>
        <w:pStyle w:val="Heading2"/>
      </w:pPr>
      <w:r>
        <w:t xml:space="preserve">Actores y responsabilidades esperadas</w:t>
      </w:r>
    </w:p>
    <w:bookmarkStart w:id="36" w:name="minsa-ogti"/>
    <w:p>
      <w:pPr>
        <w:pStyle w:val="Heading3"/>
      </w:pPr>
      <w:r>
        <w:t xml:space="preserve">MINSA (OGTI)</w:t>
      </w:r>
    </w:p>
    <w:p>
      <w:pPr>
        <w:pStyle w:val="Compact"/>
        <w:numPr>
          <w:ilvl w:val="0"/>
          <w:numId w:val="1019"/>
        </w:numPr>
      </w:pPr>
      <w:r>
        <w:t xml:space="preserve">Conducción técnica de interoperabilidad.</w:t>
      </w:r>
    </w:p>
    <w:p>
      <w:pPr>
        <w:pStyle w:val="Compact"/>
        <w:numPr>
          <w:ilvl w:val="0"/>
          <w:numId w:val="1019"/>
        </w:numPr>
      </w:pPr>
      <w:r>
        <w:t xml:space="preserve">Definición de lineamientos, catálogos y coordinación sectorial.</w:t>
      </w:r>
    </w:p>
    <w:bookmarkEnd w:id="36"/>
    <w:bookmarkStart w:id="37" w:name="susalud"/>
    <w:p>
      <w:pPr>
        <w:pStyle w:val="Heading3"/>
      </w:pPr>
      <w:r>
        <w:t xml:space="preserve">SUSALUD</w:t>
      </w:r>
    </w:p>
    <w:p>
      <w:pPr>
        <w:pStyle w:val="Compact"/>
        <w:numPr>
          <w:ilvl w:val="0"/>
          <w:numId w:val="1020"/>
        </w:numPr>
      </w:pPr>
      <w:r>
        <w:t xml:space="preserve">Rol de supervisión y protección de derechos en salud.</w:t>
      </w:r>
    </w:p>
    <w:p>
      <w:pPr>
        <w:pStyle w:val="Compact"/>
        <w:numPr>
          <w:ilvl w:val="0"/>
          <w:numId w:val="1020"/>
        </w:numPr>
      </w:pPr>
      <w:r>
        <w:t xml:space="preserve">Relevancia para el estudio: componente de vigilancia de cumplimiento y efectos en derechos del paciente.</w:t>
      </w:r>
    </w:p>
    <w:bookmarkEnd w:id="37"/>
    <w:bookmarkStart w:id="38" w:name="ipress-y-ugipress"/>
    <w:p>
      <w:pPr>
        <w:pStyle w:val="Heading3"/>
      </w:pPr>
      <w:r>
        <w:t xml:space="preserve">IPRESS y UGIPRESS</w:t>
      </w:r>
    </w:p>
    <w:p>
      <w:pPr>
        <w:pStyle w:val="Compact"/>
        <w:numPr>
          <w:ilvl w:val="0"/>
          <w:numId w:val="1021"/>
        </w:numPr>
      </w:pPr>
      <w:r>
        <w:t xml:space="preserve">Implementación efectiva de estándares, catálogos y seguridad del dato.</w:t>
      </w:r>
    </w:p>
    <w:p>
      <w:pPr>
        <w:pStyle w:val="Compact"/>
        <w:numPr>
          <w:ilvl w:val="0"/>
          <w:numId w:val="1021"/>
        </w:numPr>
      </w:pPr>
      <w:r>
        <w:t xml:space="preserve">Punto crítico de estudio: distancia entre obligación normativa y capacidad operativa local.</w:t>
      </w:r>
    </w:p>
    <w:bookmarkEnd w:id="38"/>
    <w:bookmarkEnd w:id="39"/>
    <w:bookmarkStart w:id="42" w:name="causa-efecto-del-problema-unificado"/>
    <w:p>
      <w:pPr>
        <w:pStyle w:val="Heading2"/>
      </w:pPr>
      <w:r>
        <w:t xml:space="preserve">Causa-efecto del problema unificado</w:t>
      </w:r>
    </w:p>
    <w:bookmarkStart w:id="40" w:name="causas-estructurales"/>
    <w:p>
      <w:pPr>
        <w:pStyle w:val="Heading3"/>
      </w:pPr>
      <w:r>
        <w:t xml:space="preserve">Causas estructurales</w:t>
      </w:r>
    </w:p>
    <w:p>
      <w:pPr>
        <w:pStyle w:val="Compact"/>
        <w:numPr>
          <w:ilvl w:val="0"/>
          <w:numId w:val="1022"/>
        </w:numPr>
      </w:pPr>
      <w:r>
        <w:t xml:space="preserve">Sistemas heredados con baja capacidad de integración.</w:t>
      </w:r>
    </w:p>
    <w:p>
      <w:pPr>
        <w:pStyle w:val="Compact"/>
        <w:numPr>
          <w:ilvl w:val="0"/>
          <w:numId w:val="1022"/>
        </w:numPr>
      </w:pPr>
      <w:r>
        <w:t xml:space="preserve">Implementación parcial de HL7/DICOM.</w:t>
      </w:r>
    </w:p>
    <w:p>
      <w:pPr>
        <w:pStyle w:val="Compact"/>
        <w:numPr>
          <w:ilvl w:val="0"/>
          <w:numId w:val="1022"/>
        </w:numPr>
      </w:pPr>
      <w:r>
        <w:t xml:space="preserve">Uso inconsistente de CIE-10/CPMS/IEDS.</w:t>
      </w:r>
    </w:p>
    <w:p>
      <w:pPr>
        <w:pStyle w:val="Compact"/>
        <w:numPr>
          <w:ilvl w:val="0"/>
          <w:numId w:val="1022"/>
        </w:numPr>
      </w:pPr>
      <w:r>
        <w:t xml:space="preserve">Brechas de conectividad para operación sostenida.</w:t>
      </w:r>
    </w:p>
    <w:p>
      <w:pPr>
        <w:pStyle w:val="Compact"/>
        <w:numPr>
          <w:ilvl w:val="0"/>
          <w:numId w:val="1022"/>
        </w:numPr>
      </w:pPr>
      <w:r>
        <w:t xml:space="preserve">Insuficiente gobernanza y control de calidad de datos.</w:t>
      </w:r>
    </w:p>
    <w:p>
      <w:pPr>
        <w:pStyle w:val="Compact"/>
        <w:numPr>
          <w:ilvl w:val="0"/>
          <w:numId w:val="1022"/>
        </w:numPr>
      </w:pPr>
      <w:r>
        <w:t xml:space="preserve">Capacitación insuficiente y alta rotación de personal.</w:t>
      </w:r>
    </w:p>
    <w:p>
      <w:pPr>
        <w:pStyle w:val="Compact"/>
        <w:numPr>
          <w:ilvl w:val="0"/>
          <w:numId w:val="1022"/>
        </w:numPr>
      </w:pPr>
      <w:r>
        <w:t xml:space="preserve">Restricciones presupuestales para modernización.</w:t>
      </w:r>
    </w:p>
    <w:bookmarkEnd w:id="40"/>
    <w:bookmarkStart w:id="41" w:name="efectos-en-la-operación-sis-minsa"/>
    <w:p>
      <w:pPr>
        <w:pStyle w:val="Heading3"/>
      </w:pPr>
      <w:r>
        <w:t xml:space="preserve">Efectos en la operación SIS-MINSA</w:t>
      </w:r>
    </w:p>
    <w:p>
      <w:pPr>
        <w:pStyle w:val="Compact"/>
        <w:numPr>
          <w:ilvl w:val="0"/>
          <w:numId w:val="1023"/>
        </w:numPr>
      </w:pPr>
      <w:r>
        <w:t xml:space="preserve">Fragmentación de historia clínica.</w:t>
      </w:r>
    </w:p>
    <w:p>
      <w:pPr>
        <w:pStyle w:val="Compact"/>
        <w:numPr>
          <w:ilvl w:val="0"/>
          <w:numId w:val="1023"/>
        </w:numPr>
      </w:pPr>
      <w:r>
        <w:t xml:space="preserve">Duplicidad de exámenes y procedimientos.</w:t>
      </w:r>
    </w:p>
    <w:p>
      <w:pPr>
        <w:pStyle w:val="Compact"/>
        <w:numPr>
          <w:ilvl w:val="0"/>
          <w:numId w:val="1023"/>
        </w:numPr>
      </w:pPr>
      <w:r>
        <w:t xml:space="preserve">Demoras en diagnóstico, tratamiento y validación administrativa.</w:t>
      </w:r>
    </w:p>
    <w:p>
      <w:pPr>
        <w:pStyle w:val="Compact"/>
        <w:numPr>
          <w:ilvl w:val="0"/>
          <w:numId w:val="1023"/>
        </w:numPr>
      </w:pPr>
      <w:r>
        <w:t xml:space="preserve">Riesgo de errores médicos por información incompleta.</w:t>
      </w:r>
    </w:p>
    <w:p>
      <w:pPr>
        <w:pStyle w:val="Compact"/>
        <w:numPr>
          <w:ilvl w:val="0"/>
          <w:numId w:val="1023"/>
        </w:numPr>
      </w:pPr>
      <w:r>
        <w:t xml:space="preserve">Sobrecostos por ineficiencia y baja trazabilidad.</w:t>
      </w:r>
    </w:p>
    <w:p>
      <w:pPr>
        <w:pStyle w:val="Compact"/>
        <w:numPr>
          <w:ilvl w:val="0"/>
          <w:numId w:val="1023"/>
        </w:numPr>
      </w:pPr>
      <w:r>
        <w:t xml:space="preserve">Insatisfacción del paciente y potencial afectación de derechos en salud.</w:t>
      </w:r>
    </w:p>
    <w:bookmarkEnd w:id="41"/>
    <w:bookmarkEnd w:id="42"/>
    <w:bookmarkStart w:id="50" w:name="variables-y-operacionalización"/>
    <w:p>
      <w:pPr>
        <w:pStyle w:val="Heading2"/>
      </w:pPr>
      <w:r>
        <w:t xml:space="preserve">Variables y operacionalización</w:t>
      </w:r>
    </w:p>
    <w:bookmarkStart w:id="43" w:name="variable-independiente"/>
    <w:p>
      <w:pPr>
        <w:pStyle w:val="Heading3"/>
      </w:pPr>
      <w:r>
        <w:t xml:space="preserve">Variable independiente</w:t>
      </w:r>
    </w:p>
    <w:p>
      <w:pPr>
        <w:pStyle w:val="FirstParagraph"/>
      </w:pPr>
      <w:r>
        <w:t xml:space="preserve">Modelo híbrido de interoperabilidad (diagnóstico + implementación FHIR).</w:t>
      </w:r>
    </w:p>
    <w:bookmarkEnd w:id="43"/>
    <w:bookmarkStart w:id="47" w:name="dimensiones-de-la-variable-independiente"/>
    <w:p>
      <w:pPr>
        <w:pStyle w:val="Heading3"/>
      </w:pPr>
      <w:r>
        <w:t xml:space="preserve">Dimensiones de la variable independiente</w:t>
      </w:r>
    </w:p>
    <w:bookmarkStart w:id="44" w:name="fase-1-diagnóstico"/>
    <w:p>
      <w:pPr>
        <w:pStyle w:val="Heading4"/>
      </w:pPr>
      <w:r>
        <w:t xml:space="preserve">Fase 1 — Diagnóstico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Instrumento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 RNIEDS-PIDESALUD</w:t>
            </w:r>
          </w:p>
        </w:tc>
        <w:tc>
          <w:tcPr/>
          <w:p>
            <w:pPr>
              <w:pStyle w:val="Compact"/>
            </w:pPr>
            <w:r>
              <w:t xml:space="preserve">% de componentes implementados operativamente</w:t>
            </w:r>
          </w:p>
        </w:tc>
        <w:tc>
          <w:tcPr/>
          <w:p>
            <w:pPr>
              <w:pStyle w:val="Compact"/>
            </w:pPr>
            <w:r>
              <w:t xml:space="preserve">Razón (0-100 %)</w:t>
            </w:r>
          </w:p>
        </w:tc>
        <w:tc>
          <w:tcPr/>
          <w:p>
            <w:pPr>
              <w:pStyle w:val="Compact"/>
            </w:pPr>
            <w:r>
              <w:t xml:space="preserve">Checklist normativo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Estándares de intercambio</w:t>
            </w:r>
          </w:p>
        </w:tc>
        <w:tc>
          <w:tcPr/>
          <w:p>
            <w:pPr>
              <w:pStyle w:val="Compact"/>
            </w:pPr>
            <w:r>
              <w:t xml:space="preserve">Nivel de adopción de HL7/FHIR y DICOM</w:t>
            </w:r>
          </w:p>
        </w:tc>
        <w:tc>
          <w:tcPr/>
          <w:p>
            <w:pPr>
              <w:pStyle w:val="Compact"/>
            </w:pPr>
            <w:r>
              <w:t xml:space="preserve">Ordinal (nulo/parcial/completo)</w:t>
            </w:r>
          </w:p>
        </w:tc>
        <w:tc>
          <w:tcPr/>
          <w:p>
            <w:pPr>
              <w:pStyle w:val="Compact"/>
            </w:pPr>
            <w:r>
              <w:t xml:space="preserve">Ficha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Codificación clínica</w:t>
            </w:r>
          </w:p>
        </w:tc>
        <w:tc>
          <w:tcPr/>
          <w:p>
            <w:pPr>
              <w:pStyle w:val="Compact"/>
            </w:pPr>
            <w:r>
              <w:t xml:space="preserve">% cumplimiento CIE-10, CPMS, catálogos IEDS</w:t>
            </w:r>
          </w:p>
        </w:tc>
        <w:tc>
          <w:tcPr/>
          <w:p>
            <w:pPr>
              <w:pStyle w:val="Compact"/>
            </w:pPr>
            <w:r>
              <w:t xml:space="preserve">Razón (0-100 %)</w:t>
            </w:r>
          </w:p>
        </w:tc>
        <w:tc>
          <w:tcPr/>
          <w:p>
            <w:pPr>
              <w:pStyle w:val="Compact"/>
            </w:pPr>
            <w:r>
              <w:t xml:space="preserve">Auditoría de registros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 y trazabilidad</w:t>
            </w:r>
          </w:p>
        </w:tc>
        <w:tc>
          <w:tcPr/>
          <w:p>
            <w:pPr>
              <w:pStyle w:val="Compact"/>
            </w:pPr>
            <w:r>
              <w:t xml:space="preserve">Existencia de políticas y logs de acceso</w:t>
            </w:r>
          </w:p>
        </w:tc>
        <w:tc>
          <w:tcPr/>
          <w:p>
            <w:pPr>
              <w:pStyle w:val="Compact"/>
            </w:pPr>
            <w:r>
              <w:t xml:space="preserve">Nominal (sí/no) + ordinal</w:t>
            </w:r>
          </w:p>
        </w:tc>
        <w:tc>
          <w:tcPr/>
          <w:p>
            <w:pPr>
              <w:pStyle w:val="Compact"/>
            </w:pPr>
            <w:r>
              <w:t xml:space="preserve">Revisión documental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 y conectividad</w:t>
            </w:r>
          </w:p>
        </w:tc>
        <w:tc>
          <w:tcPr/>
          <w:p>
            <w:pPr>
              <w:pStyle w:val="Compact"/>
            </w:pPr>
            <w:r>
              <w:t xml:space="preserve">Disponibilidad de conexión operativa</w:t>
            </w:r>
          </w:p>
        </w:tc>
        <w:tc>
          <w:tcPr/>
          <w:p>
            <w:pPr>
              <w:pStyle w:val="Compact"/>
            </w:pPr>
            <w:r>
              <w:t xml:space="preserve">Nominal (sí/no) + razón (% uptime)</w:t>
            </w:r>
          </w:p>
        </w:tc>
        <w:tc>
          <w:tcPr/>
          <w:p>
            <w:pPr>
              <w:pStyle w:val="Compact"/>
            </w:pPr>
            <w:r>
              <w:t xml:space="preserve">Monitoreo técnico</w:t>
            </w:r>
          </w:p>
        </w:tc>
      </w:tr>
    </w:tbl>
    <w:bookmarkEnd w:id="44"/>
    <w:bookmarkStart w:id="45" w:name="fase-2-implementación-piloto"/>
    <w:p>
      <w:pPr>
        <w:pStyle w:val="Heading4"/>
      </w:pPr>
      <w:r>
        <w:t xml:space="preserve">Fase 2 — Implementación piloto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Instrumento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Perfiles FHIR definidos</w:t>
            </w:r>
          </w:p>
        </w:tc>
        <w:tc>
          <w:tcPr/>
          <w:p>
            <w:pPr>
              <w:pStyle w:val="Compact"/>
            </w:pPr>
            <w:r>
              <w:t xml:space="preserve">Número de recursos FHIR mapeados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  <w:tc>
          <w:tcPr/>
          <w:p>
            <w:pPr>
              <w:pStyle w:val="Compact"/>
            </w:pPr>
            <w:r>
              <w:t xml:space="preserve">Documentación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Mapeo de datos</w:t>
            </w:r>
          </w:p>
        </w:tc>
        <w:tc>
          <w:tcPr/>
          <w:p>
            <w:pPr>
              <w:pStyle w:val="Compact"/>
            </w:pPr>
            <w:r>
              <w:t xml:space="preserve">% de campos locales mapeados a FHIR</w:t>
            </w:r>
          </w:p>
        </w:tc>
        <w:tc>
          <w:tcPr/>
          <w:p>
            <w:pPr>
              <w:pStyle w:val="Compact"/>
            </w:pPr>
            <w:r>
              <w:t xml:space="preserve">Razón (0-100 %)</w:t>
            </w:r>
          </w:p>
        </w:tc>
        <w:tc>
          <w:tcPr/>
          <w:p>
            <w:pPr>
              <w:pStyle w:val="Compact"/>
            </w:pPr>
            <w:r>
              <w:t xml:space="preserve">Matriz de mapeo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 desplegado</w:t>
            </w:r>
          </w:p>
        </w:tc>
        <w:tc>
          <w:tcPr/>
          <w:p>
            <w:pPr>
              <w:pStyle w:val="Compact"/>
            </w:pPr>
            <w:r>
              <w:t xml:space="preserve">Disponibilidad del endpoint FHIR</w:t>
            </w:r>
          </w:p>
        </w:tc>
        <w:tc>
          <w:tcPr/>
          <w:p>
            <w:pPr>
              <w:pStyle w:val="Compact"/>
            </w:pPr>
            <w:r>
              <w:t xml:space="preserve">Nominal (operativo/no operativo)</w:t>
            </w:r>
          </w:p>
        </w:tc>
        <w:tc>
          <w:tcPr/>
          <w:p>
            <w:pPr>
              <w:pStyle w:val="Compact"/>
            </w:pPr>
            <w:r>
              <w:t xml:space="preserve">Pruebas de integración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Capacitación</w:t>
            </w:r>
          </w:p>
        </w:tc>
        <w:tc>
          <w:tcPr/>
          <w:p>
            <w:pPr>
              <w:pStyle w:val="Compact"/>
            </w:pPr>
            <w:r>
              <w:t xml:space="preserve">% de personal capacitado</w:t>
            </w:r>
          </w:p>
        </w:tc>
        <w:tc>
          <w:tcPr/>
          <w:p>
            <w:pPr>
              <w:pStyle w:val="Compact"/>
            </w:pPr>
            <w:r>
              <w:t xml:space="preserve">Razón (0-100 %)</w:t>
            </w:r>
          </w:p>
        </w:tc>
        <w:tc>
          <w:tcPr/>
          <w:p>
            <w:pPr>
              <w:pStyle w:val="Compact"/>
            </w:pPr>
            <w:r>
              <w:t xml:space="preserve">Registro de asistencia</w:t>
            </w:r>
          </w:p>
        </w:tc>
      </w:tr>
    </w:tbl>
    <w:bookmarkEnd w:id="45"/>
    <w:bookmarkStart w:id="46" w:name="fase-3-evaluación-de-impacto"/>
    <w:p>
      <w:pPr>
        <w:pStyle w:val="Heading4"/>
      </w:pPr>
      <w:r>
        <w:t xml:space="preserve">Fase 3 — Evaluación de impacto</w:t>
      </w:r>
    </w:p>
    <w:p>
      <w:pPr>
        <w:pStyle w:val="Compact"/>
        <w:numPr>
          <w:ilvl w:val="0"/>
          <w:numId w:val="1024"/>
        </w:numPr>
      </w:pPr>
      <w:r>
        <w:t xml:space="preserve">Comparación pre/post de todos los indicadores de la variable dependiente.</w:t>
      </w:r>
    </w:p>
    <w:bookmarkEnd w:id="46"/>
    <w:bookmarkEnd w:id="47"/>
    <w:bookmarkStart w:id="48" w:name="variable-dependiente"/>
    <w:p>
      <w:pPr>
        <w:pStyle w:val="Heading3"/>
      </w:pPr>
      <w:r>
        <w:t xml:space="preserve">Variable dependiente</w:t>
      </w:r>
    </w:p>
    <w:p>
      <w:pPr>
        <w:pStyle w:val="FirstParagraph"/>
      </w:pPr>
      <w:r>
        <w:t xml:space="preserve">Calidad de gestión de historias clínicas de pacientes SIS.</w:t>
      </w:r>
    </w:p>
    <w:bookmarkEnd w:id="48"/>
    <w:bookmarkStart w:id="49" w:name="Xc8ff1098c628d99a99dde74a838442f6b2c3989"/>
    <w:p>
      <w:pPr>
        <w:pStyle w:val="Heading3"/>
      </w:pPr>
      <w:r>
        <w:t xml:space="preserve">Indicadores de la variable dependiente (medidos pre y post implementación)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Fórmula / operacionalización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Completitud de HCE</w:t>
            </w:r>
          </w:p>
        </w:tc>
        <w:tc>
          <w:tcPr/>
          <w:p>
            <w:pPr>
              <w:pStyle w:val="Compact"/>
            </w:pPr>
            <w:r>
              <w:t xml:space="preserve">% de campos obligatorios completos</w:t>
            </w:r>
          </w:p>
        </w:tc>
        <w:tc>
          <w:tcPr/>
          <w:p>
            <w:pPr>
              <w:pStyle w:val="Compact"/>
            </w:pPr>
            <w:r>
              <w:t xml:space="preserve">Razón (0-100 %)</w:t>
            </w:r>
          </w:p>
        </w:tc>
        <w:tc>
          <w:tcPr/>
          <w:p>
            <w:pPr>
              <w:pStyle w:val="Compact"/>
            </w:pPr>
            <w:r>
              <w:t xml:space="preserve">Auditoría de registros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Codificación CIE-10</w:t>
            </w:r>
          </w:p>
        </w:tc>
        <w:tc>
          <w:tcPr/>
          <w:p>
            <w:pPr>
              <w:pStyle w:val="Compact"/>
            </w:pPr>
            <w:r>
              <w:t xml:space="preserve">% de diagnósticos correctamente codificados</w:t>
            </w:r>
          </w:p>
        </w:tc>
        <w:tc>
          <w:tcPr/>
          <w:p>
            <w:pPr>
              <w:pStyle w:val="Compact"/>
            </w:pPr>
            <w:r>
              <w:t xml:space="preserve">Razón (0-100 %)</w:t>
            </w:r>
          </w:p>
        </w:tc>
        <w:tc>
          <w:tcPr/>
          <w:p>
            <w:pPr>
              <w:pStyle w:val="Compact"/>
            </w:pPr>
            <w:r>
              <w:t xml:space="preserve">Muestra de atenciones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Codificación CPMS</w:t>
            </w:r>
          </w:p>
        </w:tc>
        <w:tc>
          <w:tcPr/>
          <w:p>
            <w:pPr>
              <w:pStyle w:val="Compact"/>
            </w:pPr>
            <w:r>
              <w:t xml:space="preserve">% de procedimientos correctamente codificados</w:t>
            </w:r>
          </w:p>
        </w:tc>
        <w:tc>
          <w:tcPr/>
          <w:p>
            <w:pPr>
              <w:pStyle w:val="Compact"/>
            </w:pPr>
            <w:r>
              <w:t xml:space="preserve">Razón (0-100 %)</w:t>
            </w:r>
          </w:p>
        </w:tc>
        <w:tc>
          <w:tcPr/>
          <w:p>
            <w:pPr>
              <w:pStyle w:val="Compact"/>
            </w:pPr>
            <w:r>
              <w:t xml:space="preserve">Muestra de atenciones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Duplicidad de pacientes</w:t>
            </w:r>
          </w:p>
        </w:tc>
        <w:tc>
          <w:tcPr/>
          <w:p>
            <w:pPr>
              <w:pStyle w:val="Compact"/>
            </w:pPr>
            <w:r>
              <w:t xml:space="preserve">Tasa de duplicados por cada 1 000 atenciones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  <w:tc>
          <w:tcPr/>
          <w:p>
            <w:pPr>
              <w:pStyle w:val="Compact"/>
            </w:pPr>
            <w:r>
              <w:t xml:space="preserve">Base de datos 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Duplicidad de exámenes</w:t>
            </w:r>
          </w:p>
        </w:tc>
        <w:tc>
          <w:tcPr/>
          <w:p>
            <w:pPr>
              <w:pStyle w:val="Compact"/>
            </w:pPr>
            <w:r>
              <w:t xml:space="preserve">Tasa de exámenes duplicados por cada 1 000 atenciones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  <w:tc>
          <w:tcPr/>
          <w:p>
            <w:pPr>
              <w:pStyle w:val="Compact"/>
            </w:pPr>
            <w:r>
              <w:t xml:space="preserve">Base de datos 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validación SIS</w:t>
            </w:r>
          </w:p>
        </w:tc>
        <w:tc>
          <w:tcPr/>
          <w:p>
            <w:pPr>
              <w:pStyle w:val="Compact"/>
            </w:pPr>
            <w:r>
              <w:t xml:space="preserve">Tiempo promedio en horas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  <w:tc>
          <w:tcPr/>
          <w:p>
            <w:pPr>
              <w:pStyle w:val="Compact"/>
            </w:pPr>
            <w:r>
              <w:t xml:space="preserve">Registros 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Continuidad de atención</w:t>
            </w:r>
          </w:p>
        </w:tc>
        <w:tc>
          <w:tcPr/>
          <w:p>
            <w:pPr>
              <w:pStyle w:val="Compact"/>
            </w:pPr>
            <w:r>
              <w:t xml:space="preserve">% de HCE con trazabilidad entre establecimientos</w:t>
            </w:r>
          </w:p>
        </w:tc>
        <w:tc>
          <w:tcPr/>
          <w:p>
            <w:pPr>
              <w:pStyle w:val="Compact"/>
            </w:pPr>
            <w:r>
              <w:t xml:space="preserve">Razón (0-100 %)</w:t>
            </w:r>
          </w:p>
        </w:tc>
        <w:tc>
          <w:tcPr/>
          <w:p>
            <w:pPr>
              <w:pStyle w:val="Compact"/>
            </w:pPr>
            <w:r>
              <w:t xml:space="preserve">Cruce de registros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de accesos</w:t>
            </w:r>
          </w:p>
        </w:tc>
        <w:tc>
          <w:tcPr/>
          <w:p>
            <w:pPr>
              <w:pStyle w:val="Compact"/>
            </w:pPr>
            <w:r>
              <w:t xml:space="preserve">% de registros con log completo</w:t>
            </w:r>
          </w:p>
        </w:tc>
        <w:tc>
          <w:tcPr/>
          <w:p>
            <w:pPr>
              <w:pStyle w:val="Compact"/>
            </w:pPr>
            <w:r>
              <w:t xml:space="preserve">Razón (0-100 %)</w:t>
            </w:r>
          </w:p>
        </w:tc>
        <w:tc>
          <w:tcPr/>
          <w:p>
            <w:pPr>
              <w:pStyle w:val="Compact"/>
            </w:pPr>
            <w:r>
              <w:t xml:space="preserve">Logs del sistema</w:t>
            </w:r>
          </w:p>
        </w:tc>
      </w:tr>
    </w:tbl>
    <w:bookmarkEnd w:id="49"/>
    <w:bookmarkEnd w:id="50"/>
    <w:bookmarkStart w:id="57" w:name="diseño-metodológico"/>
    <w:p>
      <w:pPr>
        <w:pStyle w:val="Heading2"/>
      </w:pPr>
      <w:r>
        <w:t xml:space="preserve">Diseño metodológico</w:t>
      </w:r>
    </w:p>
    <w:bookmarkStart w:id="51" w:name="enfoque"/>
    <w:p>
      <w:pPr>
        <w:pStyle w:val="Heading3"/>
      </w:pPr>
      <w:r>
        <w:t xml:space="preserve">Enfoque</w:t>
      </w:r>
    </w:p>
    <w:p>
      <w:pPr>
        <w:pStyle w:val="FirstParagraph"/>
      </w:pPr>
      <w:r>
        <w:t xml:space="preserve">Mixto (cuantitativo predominante + cualitativo complementario).</w:t>
      </w:r>
    </w:p>
    <w:bookmarkEnd w:id="51"/>
    <w:bookmarkStart w:id="52" w:name="tipo-de-estudio"/>
    <w:p>
      <w:pPr>
        <w:pStyle w:val="Heading3"/>
      </w:pPr>
      <w:r>
        <w:t xml:space="preserve">Tipo de estudio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Aplicado:</w:t>
      </w:r>
      <w:r>
        <w:t xml:space="preserve"> </w:t>
      </w:r>
      <w:r>
        <w:t xml:space="preserve">propone e implementa una solución concreta (capa FHIR).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Pre-experimental o cuasi-experimental:</w:t>
      </w:r>
      <w:r>
        <w:t xml:space="preserve"> </w:t>
      </w:r>
      <w:r>
        <w:t xml:space="preserve">diseño pre-test / post-test (con grupo único o con grupo control si la muestra lo permite).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Alcance:</w:t>
      </w:r>
      <w:r>
        <w:t xml:space="preserve"> </w:t>
      </w:r>
      <w:r>
        <w:t xml:space="preserve">explicativo-propositivo.</w:t>
      </w:r>
    </w:p>
    <w:bookmarkEnd w:id="52"/>
    <w:bookmarkStart w:id="53" w:name="fases-del-diseño"/>
    <w:p>
      <w:pPr>
        <w:pStyle w:val="Heading3"/>
      </w:pPr>
      <w:r>
        <w:t xml:space="preserve">Fases del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Técnica / instrumento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Diagnóstico</w:t>
            </w:r>
          </w:p>
        </w:tc>
        <w:tc>
          <w:tcPr/>
          <w:p>
            <w:pPr>
              <w:pStyle w:val="Compact"/>
            </w:pPr>
            <w:r>
              <w:t xml:space="preserve">Evaluar cumplimiento normativo-técnico</w:t>
            </w:r>
          </w:p>
        </w:tc>
        <w:tc>
          <w:tcPr/>
          <w:p>
            <w:pPr>
              <w:pStyle w:val="Compact"/>
            </w:pPr>
            <w:r>
              <w:t xml:space="preserve">Checklist (RM 1104, 464, 1193), auditoría de registros, entrevistas</w:t>
            </w:r>
          </w:p>
        </w:tc>
        <w:tc>
          <w:tcPr/>
          <w:p>
            <w:pPr>
              <w:pStyle w:val="Compact"/>
            </w:pPr>
            <w:r>
              <w:t xml:space="preserve">Línea base + mapa de brechas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Implementación</w:t>
            </w:r>
          </w:p>
        </w:tc>
        <w:tc>
          <w:tcPr/>
          <w:p>
            <w:pPr>
              <w:pStyle w:val="Compact"/>
            </w:pPr>
            <w:r>
              <w:t xml:space="preserve">Diseñar y desplegar capa FHIR piloto</w:t>
            </w:r>
          </w:p>
        </w:tc>
        <w:tc>
          <w:tcPr/>
          <w:p>
            <w:pPr>
              <w:pStyle w:val="Compact"/>
            </w:pPr>
            <w:r>
              <w:t xml:space="preserve">Diseño de perfiles FHIR, mapeo de datos, despliegue, capacitación</w:t>
            </w:r>
          </w:p>
        </w:tc>
        <w:tc>
          <w:tcPr/>
          <w:p>
            <w:pPr>
              <w:pStyle w:val="Compact"/>
            </w:pPr>
            <w:r>
              <w:t xml:space="preserve">Servicio piloto operativo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Evaluación</w:t>
            </w:r>
          </w:p>
        </w:tc>
        <w:tc>
          <w:tcPr/>
          <w:p>
            <w:pPr>
              <w:pStyle w:val="Compact"/>
            </w:pPr>
            <w:r>
              <w:t xml:space="preserve">Medir indicadores post y comparar con línea base</w:t>
            </w:r>
          </w:p>
        </w:tc>
        <w:tc>
          <w:tcPr/>
          <w:p>
            <w:pPr>
              <w:pStyle w:val="Compact"/>
            </w:pPr>
            <w:r>
              <w:t xml:space="preserve">Auditoría post, prueba estadística pareada (Wilcoxon / t-test)</w:t>
            </w:r>
          </w:p>
        </w:tc>
        <w:tc>
          <w:tcPr/>
          <w:p>
            <w:pPr>
              <w:pStyle w:val="Compact"/>
            </w:pPr>
            <w:r>
              <w:t xml:space="preserve">Evidencia de impacto</w:t>
            </w:r>
          </w:p>
        </w:tc>
      </w:tr>
    </w:tbl>
    <w:bookmarkEnd w:id="53"/>
    <w:bookmarkStart w:id="54" w:name="unidades-de-análisis"/>
    <w:p>
      <w:pPr>
        <w:pStyle w:val="Heading3"/>
      </w:pPr>
      <w:r>
        <w:t xml:space="preserve">Unidades de análisis</w:t>
      </w:r>
    </w:p>
    <w:p>
      <w:pPr>
        <w:pStyle w:val="Compact"/>
        <w:numPr>
          <w:ilvl w:val="0"/>
          <w:numId w:val="1026"/>
        </w:numPr>
      </w:pPr>
      <w:r>
        <w:t xml:space="preserve">Establecimientos de salud MINSA del ámbito SIS en Lima (mínimo 2-3 niveles de complejidad).</w:t>
      </w:r>
    </w:p>
    <w:p>
      <w:pPr>
        <w:pStyle w:val="Compact"/>
        <w:numPr>
          <w:ilvl w:val="0"/>
          <w:numId w:val="1026"/>
        </w:numPr>
      </w:pPr>
      <w:r>
        <w:t xml:space="preserve">Historias clínicas electrónicas (muestra de registros por establecimiento).</w:t>
      </w:r>
    </w:p>
    <w:p>
      <w:pPr>
        <w:pStyle w:val="Compact"/>
        <w:numPr>
          <w:ilvl w:val="0"/>
          <w:numId w:val="1026"/>
        </w:numPr>
      </w:pPr>
      <w:r>
        <w:t xml:space="preserve">Procesos de registro, codificación, intercambio y validación administrativa.</w:t>
      </w:r>
    </w:p>
    <w:bookmarkEnd w:id="54"/>
    <w:bookmarkStart w:id="55" w:name="técnicas-e-instrumentos"/>
    <w:p>
      <w:pPr>
        <w:pStyle w:val="Heading3"/>
      </w:pPr>
      <w:r>
        <w:t xml:space="preserve">Técnicas e instrumentos</w:t>
      </w:r>
    </w:p>
    <w:p>
      <w:pPr>
        <w:pStyle w:val="Compact"/>
        <w:numPr>
          <w:ilvl w:val="0"/>
          <w:numId w:val="1027"/>
        </w:numPr>
      </w:pPr>
      <w:r>
        <w:t xml:space="preserve">Revisión documental normativa y técnica.</w:t>
      </w:r>
    </w:p>
    <w:p>
      <w:pPr>
        <w:pStyle w:val="Compact"/>
        <w:numPr>
          <w:ilvl w:val="0"/>
          <w:numId w:val="1027"/>
        </w:numPr>
      </w:pPr>
      <w:r>
        <w:t xml:space="preserve">Lista de chequeo de cumplimiento de interoperabilidad (ver archivo de checklist).</w:t>
      </w:r>
    </w:p>
    <w:p>
      <w:pPr>
        <w:pStyle w:val="Compact"/>
        <w:numPr>
          <w:ilvl w:val="0"/>
          <w:numId w:val="1027"/>
        </w:numPr>
      </w:pPr>
      <w:r>
        <w:t xml:space="preserve">Auditoría de registros clínico-administrativos (pre y post).</w:t>
      </w:r>
    </w:p>
    <w:p>
      <w:pPr>
        <w:pStyle w:val="Compact"/>
        <w:numPr>
          <w:ilvl w:val="0"/>
          <w:numId w:val="1027"/>
        </w:numPr>
      </w:pPr>
      <w:r>
        <w:t xml:space="preserve">Entrevistas semiestructuradas a responsables TI, estadística y jefaturas asistenciales.</w:t>
      </w:r>
    </w:p>
    <w:p>
      <w:pPr>
        <w:pStyle w:val="Compact"/>
        <w:numPr>
          <w:ilvl w:val="0"/>
          <w:numId w:val="1027"/>
        </w:numPr>
      </w:pPr>
      <w:r>
        <w:t xml:space="preserve">Pruebas de integración técnica (validación de endpoints FHIR).</w:t>
      </w:r>
    </w:p>
    <w:bookmarkEnd w:id="55"/>
    <w:bookmarkStart w:id="56" w:name="estrategia-de-análisis"/>
    <w:p>
      <w:pPr>
        <w:pStyle w:val="Heading3"/>
      </w:pPr>
      <w:r>
        <w:t xml:space="preserve">Estrategia de análisis</w:t>
      </w:r>
    </w:p>
    <w:p>
      <w:pPr>
        <w:pStyle w:val="Compact"/>
        <w:numPr>
          <w:ilvl w:val="0"/>
          <w:numId w:val="1028"/>
        </w:numPr>
      </w:pPr>
      <w:r>
        <w:t xml:space="preserve">Índice compuesto de cumplimiento de interoperabilidad (Fase 1).</w:t>
      </w:r>
    </w:p>
    <w:p>
      <w:pPr>
        <w:pStyle w:val="Compact"/>
        <w:numPr>
          <w:ilvl w:val="0"/>
          <w:numId w:val="1028"/>
        </w:numPr>
      </w:pPr>
      <w:r>
        <w:t xml:space="preserve">Prueba de diferencias pareadas (Wilcoxon o t-test según normalidad) para comparar indicadores pre/post (Fase 3).</w:t>
      </w:r>
    </w:p>
    <w:p>
      <w:pPr>
        <w:pStyle w:val="Compact"/>
        <w:numPr>
          <w:ilvl w:val="0"/>
          <w:numId w:val="1028"/>
        </w:numPr>
      </w:pPr>
      <w:r>
        <w:t xml:space="preserve">Análisis cualitativo de lecciones aprendidas y barreras de implementación.</w:t>
      </w:r>
    </w:p>
    <w:p>
      <w:pPr>
        <w:pStyle w:val="Compact"/>
        <w:numPr>
          <w:ilvl w:val="0"/>
          <w:numId w:val="1028"/>
        </w:numPr>
      </w:pPr>
      <w:r>
        <w:t xml:space="preserve">Priorización de brechas con matriz impacto-viabilidad.</w:t>
      </w:r>
    </w:p>
    <w:bookmarkEnd w:id="56"/>
    <w:bookmarkEnd w:id="57"/>
    <w:bookmarkStart w:id="58" w:name="brechas-críticas-observadas-hasta-ahora"/>
    <w:p>
      <w:pPr>
        <w:pStyle w:val="Heading2"/>
      </w:pPr>
      <w:r>
        <w:t xml:space="preserve">Brechas críticas observadas hasta ahora</w:t>
      </w:r>
    </w:p>
    <w:p>
      <w:pPr>
        <w:pStyle w:val="Compact"/>
        <w:numPr>
          <w:ilvl w:val="0"/>
          <w:numId w:val="1029"/>
        </w:numPr>
      </w:pPr>
      <w:r>
        <w:t xml:space="preserve">Cumplimiento formal de la norma, pero ejecución técnica desigual entre establecimientos.</w:t>
      </w:r>
    </w:p>
    <w:p>
      <w:pPr>
        <w:pStyle w:val="Compact"/>
        <w:numPr>
          <w:ilvl w:val="0"/>
          <w:numId w:val="1029"/>
        </w:numPr>
      </w:pPr>
      <w:r>
        <w:t xml:space="preserve">Integración parcial a plataformas y catálogos en sedes con limitaciones de conectividad.</w:t>
      </w:r>
    </w:p>
    <w:p>
      <w:pPr>
        <w:pStyle w:val="Compact"/>
        <w:numPr>
          <w:ilvl w:val="0"/>
          <w:numId w:val="1029"/>
        </w:numPr>
      </w:pPr>
      <w:r>
        <w:t xml:space="preserve">Dependencia de procesos manuales para conciliación de datos clínicos y administrativos.</w:t>
      </w:r>
    </w:p>
    <w:p>
      <w:pPr>
        <w:pStyle w:val="Compact"/>
        <w:numPr>
          <w:ilvl w:val="0"/>
          <w:numId w:val="1029"/>
        </w:numPr>
      </w:pPr>
      <w:r>
        <w:t xml:space="preserve">Débil trazabilidad de cambios en el dato clínico y baja madurez de auditoría.</w:t>
      </w:r>
    </w:p>
    <w:p>
      <w:pPr>
        <w:pStyle w:val="Compact"/>
        <w:numPr>
          <w:ilvl w:val="0"/>
          <w:numId w:val="1029"/>
        </w:numPr>
      </w:pPr>
      <w:r>
        <w:t xml:space="preserve">Diferencias de capacidad técnica entre nivel central y periferia operativa.</w:t>
      </w:r>
    </w:p>
    <w:bookmarkEnd w:id="58"/>
    <w:bookmarkStart w:id="62" w:name="Xbc5b2ea5adfa90d5710b2600934d6df64c60b68"/>
    <w:p>
      <w:pPr>
        <w:pStyle w:val="Heading2"/>
      </w:pPr>
      <w:r>
        <w:t xml:space="preserve">Hallazgos de investigación web incorporables al marco teórico</w:t>
      </w:r>
    </w:p>
    <w:bookmarkStart w:id="59" w:name="hl7-fuente-institucional"/>
    <w:p>
      <w:pPr>
        <w:pStyle w:val="Heading3"/>
      </w:pPr>
      <w:r>
        <w:t xml:space="preserve">HL7 (fuente institucional)</w:t>
      </w:r>
    </w:p>
    <w:p>
      <w:pPr>
        <w:pStyle w:val="Compact"/>
        <w:numPr>
          <w:ilvl w:val="0"/>
          <w:numId w:val="1030"/>
        </w:numPr>
      </w:pPr>
      <w:r>
        <w:t xml:space="preserve">HL7 International se define como organización acreditada ANSI para estándares de intercambio e integración de información de salud.</w:t>
      </w:r>
    </w:p>
    <w:p>
      <w:pPr>
        <w:pStyle w:val="Compact"/>
        <w:numPr>
          <w:ilvl w:val="0"/>
          <w:numId w:val="1030"/>
        </w:numPr>
      </w:pPr>
      <w:r>
        <w:t xml:space="preserve">Relevancia para la tesis: respalda el fundamento técnico de interoperabilidad por estándares abiertos y perfiles de implementación.</w:t>
      </w:r>
    </w:p>
    <w:bookmarkEnd w:id="59"/>
    <w:bookmarkStart w:id="60" w:name="dicom-fuente-institucional"/>
    <w:p>
      <w:pPr>
        <w:pStyle w:val="Heading3"/>
      </w:pPr>
      <w:r>
        <w:t xml:space="preserve">DICOM (fuente institucional)</w:t>
      </w:r>
    </w:p>
    <w:p>
      <w:pPr>
        <w:pStyle w:val="Compact"/>
        <w:numPr>
          <w:ilvl w:val="0"/>
          <w:numId w:val="1031"/>
        </w:numPr>
      </w:pPr>
      <w:r>
        <w:t xml:space="preserve">DICOM es el estándar internacional para imágenes médicas y su información asociada.</w:t>
      </w:r>
    </w:p>
    <w:p>
      <w:pPr>
        <w:pStyle w:val="Compact"/>
        <w:numPr>
          <w:ilvl w:val="0"/>
          <w:numId w:val="1031"/>
        </w:numPr>
      </w:pPr>
      <w:r>
        <w:t xml:space="preserve">Es reconocido por ISO como ISO 12052.</w:t>
      </w:r>
    </w:p>
    <w:p>
      <w:pPr>
        <w:pStyle w:val="Compact"/>
        <w:numPr>
          <w:ilvl w:val="0"/>
          <w:numId w:val="1031"/>
        </w:numPr>
      </w:pPr>
      <w:r>
        <w:t xml:space="preserve">Relevancia para la tesis: sustenta interoperabilidad de imágenes diagnósticas y continuidad de información radiológica.</w:t>
      </w:r>
    </w:p>
    <w:bookmarkEnd w:id="60"/>
    <w:bookmarkStart w:id="61" w:name="Xe402c16ef0e9fea03f07f2b3cae188010786fbb"/>
    <w:p>
      <w:pPr>
        <w:pStyle w:val="Heading3"/>
      </w:pPr>
      <w:r>
        <w:t xml:space="preserve">Clasificación internacional de enfermedades (OMS)</w:t>
      </w:r>
    </w:p>
    <w:p>
      <w:pPr>
        <w:pStyle w:val="Compact"/>
        <w:numPr>
          <w:ilvl w:val="0"/>
          <w:numId w:val="1032"/>
        </w:numPr>
      </w:pPr>
      <w:r>
        <w:t xml:space="preserve">La OMS define ICD como base global para comparabilidad de morbilidad y mortalidad.</w:t>
      </w:r>
    </w:p>
    <w:p>
      <w:pPr>
        <w:pStyle w:val="Compact"/>
        <w:numPr>
          <w:ilvl w:val="0"/>
          <w:numId w:val="1032"/>
        </w:numPr>
      </w:pPr>
      <w:r>
        <w:t xml:space="preserve">ICD-11 esta oficialmente en vigor desde 2022 a nivel OMS.</w:t>
      </w:r>
    </w:p>
    <w:p>
      <w:pPr>
        <w:pStyle w:val="Compact"/>
        <w:numPr>
          <w:ilvl w:val="0"/>
          <w:numId w:val="1032"/>
        </w:numPr>
      </w:pPr>
      <w:r>
        <w:t xml:space="preserve">Relevancia para la tesis: refuerza la importancia de codificación estandarizada para calidad de dato, comparabilidad y gestión sanitaria.</w:t>
      </w:r>
    </w:p>
    <w:bookmarkEnd w:id="61"/>
    <w:bookmarkEnd w:id="62"/>
    <w:bookmarkStart w:id="63" w:name="X114cc90583f6c13989d57a184e97621a1fe0438"/>
    <w:p>
      <w:pPr>
        <w:pStyle w:val="Heading2"/>
      </w:pPr>
      <w:r>
        <w:t xml:space="preserve">Estado de validación de fuentes normativas en línea</w:t>
      </w:r>
    </w:p>
    <w:p>
      <w:pPr>
        <w:pStyle w:val="Compact"/>
        <w:numPr>
          <w:ilvl w:val="0"/>
          <w:numId w:val="1033"/>
        </w:numPr>
      </w:pPr>
      <w:r>
        <w:t xml:space="preserve">El detalle normativo principal de las RM 1104-2018, 464-2019 y 1193-2019 ya fue incorporado desde tu extracción documental previa.</w:t>
      </w:r>
    </w:p>
    <w:p>
      <w:pPr>
        <w:pStyle w:val="Compact"/>
        <w:numPr>
          <w:ilvl w:val="0"/>
          <w:numId w:val="1033"/>
        </w:numPr>
      </w:pPr>
      <w:r>
        <w:t xml:space="preserve">La consulta web automatizada a enlaces de gob.pe devolvió contenido cruzado en algunos casos, por lo que las URL finales de cada resolución deben confirmarse manualmente desde el buscador oficial de MINSA o El Peruano.</w:t>
      </w:r>
    </w:p>
    <w:p>
      <w:pPr>
        <w:pStyle w:val="Compact"/>
        <w:numPr>
          <w:ilvl w:val="0"/>
          <w:numId w:val="1033"/>
        </w:numPr>
      </w:pPr>
      <w:r>
        <w:t xml:space="preserve">Esta nota se incluye para mantener trazabilidad metodológica y evitar citas incorrectas.</w:t>
      </w:r>
    </w:p>
    <w:bookmarkEnd w:id="63"/>
    <w:bookmarkStart w:id="64" w:name="supuestos-y-delimitaciones"/>
    <w:p>
      <w:pPr>
        <w:pStyle w:val="Heading2"/>
      </w:pPr>
      <w:r>
        <w:t xml:space="preserve">Supuestos y delimitaciones</w:t>
      </w:r>
    </w:p>
    <w:p>
      <w:pPr>
        <w:pStyle w:val="Compact"/>
        <w:numPr>
          <w:ilvl w:val="0"/>
          <w:numId w:val="1034"/>
        </w:numPr>
      </w:pPr>
      <w:r>
        <w:t xml:space="preserve">Se asume que la muestra de establecimientos representa variabilidad territorial (urbano/periférico).</w:t>
      </w:r>
    </w:p>
    <w:p>
      <w:pPr>
        <w:pStyle w:val="Compact"/>
        <w:numPr>
          <w:ilvl w:val="0"/>
          <w:numId w:val="1034"/>
        </w:numPr>
      </w:pPr>
      <w:r>
        <w:t xml:space="preserve">Se delimita el análisis al proceso de historia clínica y su vínculo operativo con el SIS.</w:t>
      </w:r>
    </w:p>
    <w:p>
      <w:pPr>
        <w:pStyle w:val="Compact"/>
        <w:numPr>
          <w:ilvl w:val="0"/>
          <w:numId w:val="1034"/>
        </w:numPr>
      </w:pPr>
      <w:r>
        <w:t xml:space="preserve">No se evalúa todo el ecosistema nacional de salud digital, solo el segmento pertinente al problema.</w:t>
      </w:r>
    </w:p>
    <w:bookmarkEnd w:id="64"/>
    <w:bookmarkStart w:id="65" w:name="riesgos-metodológicos-y-mitigación"/>
    <w:p>
      <w:pPr>
        <w:pStyle w:val="Heading2"/>
      </w:pPr>
      <w:r>
        <w:t xml:space="preserve">Riesgos metodológicos y mitigación</w:t>
      </w:r>
    </w:p>
    <w:p>
      <w:pPr>
        <w:pStyle w:val="Compact"/>
        <w:numPr>
          <w:ilvl w:val="0"/>
          <w:numId w:val="1035"/>
        </w:numPr>
      </w:pPr>
      <w:r>
        <w:t xml:space="preserve">Riesgo de subregistro en fuentes internas.</w:t>
      </w:r>
      <w:r>
        <w:t xml:space="preserve"> </w:t>
      </w:r>
      <w:r>
        <w:t xml:space="preserve">Mitigación: triangulación entre registros, entrevistas y evidencia de sistema.</w:t>
      </w:r>
    </w:p>
    <w:p>
      <w:pPr>
        <w:pStyle w:val="Compact"/>
        <w:numPr>
          <w:ilvl w:val="0"/>
          <w:numId w:val="1035"/>
        </w:numPr>
      </w:pPr>
      <w:r>
        <w:t xml:space="preserve">Riesgo de sesgo por autoevaluación institucional.</w:t>
      </w:r>
      <w:r>
        <w:t xml:space="preserve"> </w:t>
      </w:r>
      <w:r>
        <w:t xml:space="preserve">Mitigación: aplicar verificación documental y prueba de casos trazadores.</w:t>
      </w:r>
    </w:p>
    <w:p>
      <w:pPr>
        <w:pStyle w:val="Compact"/>
        <w:numPr>
          <w:ilvl w:val="0"/>
          <w:numId w:val="1035"/>
        </w:numPr>
      </w:pPr>
      <w:r>
        <w:t xml:space="preserve">Riesgo de baja disponibilidad de logs históricos.</w:t>
      </w:r>
      <w:r>
        <w:t xml:space="preserve"> </w:t>
      </w:r>
      <w:r>
        <w:t xml:space="preserve">Mitigación: usar periodo de observación acotado y trazas disponibles.</w:t>
      </w:r>
    </w:p>
    <w:bookmarkEnd w:id="65"/>
    <w:bookmarkStart w:id="66" w:name="X6e206bd6e00a50bff599a491e7f1bb649f9b887"/>
    <w:p>
      <w:pPr>
        <w:pStyle w:val="Heading2"/>
      </w:pPr>
      <w:r>
        <w:t xml:space="preserve">Estructura sugerida de capítulos de tesis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Planteamiento del problema</w:t>
      </w:r>
      <w:r>
        <w:t xml:space="preserve"> </w:t>
      </w:r>
      <w:r>
        <w:t xml:space="preserve">— contexto, formulación, preguntas, objetivos, hipótesis, justificación.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Marco teórico y normativo</w:t>
      </w:r>
      <w:r>
        <w:t xml:space="preserve"> </w:t>
      </w:r>
      <w:r>
        <w:t xml:space="preserve">— interoperabilidad en salud, estándares (HL7/FHIR, DICOM, CIE-10), marco normativo peruano (RM 1104, 464, 1193), antecedentes internacionales y nacionales.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Metodología</w:t>
      </w:r>
      <w:r>
        <w:t xml:space="preserve"> </w:t>
      </w:r>
      <w:r>
        <w:t xml:space="preserve">— diseño pre-experimental, población/muestra, operacionalización de variables, instrumentos, procedimiento por fases.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Fase 1: Diagnóstico</w:t>
      </w:r>
      <w:r>
        <w:t xml:space="preserve"> </w:t>
      </w:r>
      <w:r>
        <w:t xml:space="preserve">— resultados del levantamiento de línea base, mapa de brechas, priorización.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Fase 2: Implementación piloto</w:t>
      </w:r>
      <w:r>
        <w:t xml:space="preserve"> </w:t>
      </w:r>
      <w:r>
        <w:t xml:space="preserve">— diseño de la capa FHIR, arquitectura, mapeo de datos, despliegue, capacitación.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Fase 3: Evaluación de impacto</w:t>
      </w:r>
      <w:r>
        <w:t xml:space="preserve"> </w:t>
      </w:r>
      <w:r>
        <w:t xml:space="preserve">— comparación pre/post, pruebas estadísticas, análisis de resultados.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Discusión</w:t>
      </w:r>
      <w:r>
        <w:t xml:space="preserve"> </w:t>
      </w:r>
      <w:r>
        <w:t xml:space="preserve">— contraste con antecedentes, implicancias, limitaciones.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Conclusiones y recomendaciones</w:t>
      </w:r>
      <w:r>
        <w:t xml:space="preserve"> </w:t>
      </w:r>
      <w:r>
        <w:t xml:space="preserve">— hallazgos principales, lineamientos de escalabilidad, trabajo futuro.</w:t>
      </w:r>
    </w:p>
    <w:bookmarkEnd w:id="66"/>
    <w:bookmarkStart w:id="67" w:name="X6195793f75dfad393b23dcb4f13e56a0547d304"/>
    <w:p>
      <w:pPr>
        <w:pStyle w:val="Heading2"/>
      </w:pPr>
      <w:r>
        <w:t xml:space="preserve">Lógica de la fusión (trazabilidad conceptual)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Problema macro original:</w:t>
      </w:r>
      <w:r>
        <w:t xml:space="preserve"> </w:t>
      </w:r>
      <w:r>
        <w:t xml:space="preserve">limitaciones de interoperabilidad de sistemas de salud.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Problema aplicado original:</w:t>
      </w:r>
      <w:r>
        <w:t xml:space="preserve"> </w:t>
      </w:r>
      <w:r>
        <w:t xml:space="preserve">deficiencias de gestión de historias clínicas SIS-MINSA.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Problema unificado:</w:t>
      </w:r>
      <w:r>
        <w:t xml:space="preserve"> </w:t>
      </w:r>
      <w:r>
        <w:t xml:space="preserve">brecha de cumplimiento e implementación de interoperabilidad que impacta la continuidad clínica y la eficiencia administrativa.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Enfoque híbrido (evolución):</w:t>
      </w:r>
      <w:r>
        <w:t xml:space="preserve"> </w:t>
      </w:r>
      <w:r>
        <w:t xml:space="preserve">el diagnóstico identifica las brechas, la implementación FHIR las atiende, y la evaluación pre/post genera evidencia de mejora. Esto supera el enfoque diagnóstico-predictivo anterior (que solo estimaba riesgo de fragmentación sin cerrar la brecha).</w:t>
      </w:r>
    </w:p>
    <w:bookmarkEnd w:id="67"/>
    <w:bookmarkStart w:id="68" w:name="siguientes-pasos---ejecución"/>
    <w:p>
      <w:pPr>
        <w:pStyle w:val="Heading2"/>
      </w:pPr>
      <w:r>
        <w:t xml:space="preserve">Siguientes pasos - ejecución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Selección de establecimientos:</w:t>
      </w:r>
      <w:r>
        <w:t xml:space="preserve"> </w:t>
      </w:r>
      <w:r>
        <w:t xml:space="preserve">definir la muestra de IPRESS en Lima (mínimo 2-3 niveles de complejidad).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Validación de instrumentos:</w:t>
      </w:r>
      <w:r>
        <w:t xml:space="preserve"> </w:t>
      </w:r>
      <w:r>
        <w:t xml:space="preserve">someter el checklist diagnóstico y la ficha de auditoría a juicio de expertos.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Ejecución del diagnóstico (Fase 1):</w:t>
      </w:r>
      <w:r>
        <w:t xml:space="preserve"> </w:t>
      </w:r>
      <w:r>
        <w:t xml:space="preserve">levantar línea base en los establecimientos seleccionados.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Diseño FHIR (Fase 2):</w:t>
      </w:r>
      <w:r>
        <w:t xml:space="preserve"> </w:t>
      </w:r>
      <w:r>
        <w:t xml:space="preserve">definir perfiles de recursos, terminologías y arquitectura del servicio piloto.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Implementación y capacitación (Fase 2):</w:t>
      </w:r>
      <w:r>
        <w:t xml:space="preserve"> </w:t>
      </w:r>
      <w:r>
        <w:t xml:space="preserve">desplegar la capa piloto y formar al personal operativo.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Medición post y análisis (Fase 3):</w:t>
      </w:r>
      <w:r>
        <w:t xml:space="preserve"> </w:t>
      </w:r>
      <w:r>
        <w:t xml:space="preserve">recoger indicadores post-implementación y ejecutar pruebas estadísticas.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Redacción de tesis:</w:t>
      </w:r>
      <w:r>
        <w:t xml:space="preserve"> </w:t>
      </w:r>
      <w:r>
        <w:t xml:space="preserve">escribir capítulos con base en los resultados obtenidos.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2026-03-19T02:07:00Z</dcterms:created>
  <dcterms:modified xsi:type="dcterms:W3CDTF">2026-03-19T02:07:00Z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