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refinamiento-del-problema-paso-a-paso"/>
    <w:p>
      <w:pPr>
        <w:pStyle w:val="Heading1"/>
      </w:pPr>
      <w:r>
        <w:t xml:space="preserve">Refinamiento del problema: paso a paso</w:t>
      </w:r>
    </w:p>
    <w:bookmarkStart w:id="9" w:name="problema-base"/>
    <w:p>
      <w:pPr>
        <w:pStyle w:val="Heading2"/>
      </w:pPr>
      <w:r>
        <w:t xml:space="preserve">Problema base</w:t>
      </w:r>
    </w:p>
    <w:p>
      <w:pPr>
        <w:pStyle w:val="FirstParagraph"/>
      </w:pPr>
      <w:r>
        <w:t xml:space="preserve">Deficiencias en la interoperabilidad y en la gestión de historias clínicas de pacientes que tienen SIS en centros de salud del MINSA.</w:t>
      </w:r>
    </w:p>
    <w:bookmarkEnd w:id="9"/>
    <w:bookmarkStart w:id="13" w:name="paso-1.-definición-de-palabras-clave"/>
    <w:p>
      <w:pPr>
        <w:pStyle w:val="Heading2"/>
      </w:pPr>
      <w:r>
        <w:t xml:space="preserve">Paso 1. Definición de palabras clave</w:t>
      </w:r>
    </w:p>
    <w:bookmarkStart w:id="10" w:name="palabras-clave-núcleo-español"/>
    <w:p>
      <w:pPr>
        <w:pStyle w:val="Heading3"/>
      </w:pPr>
      <w:r>
        <w:t xml:space="preserve">Palabras clave núcleo (español)</w:t>
      </w:r>
    </w:p>
    <w:p>
      <w:pPr>
        <w:pStyle w:val="Compact"/>
        <w:numPr>
          <w:ilvl w:val="0"/>
          <w:numId w:val="1001"/>
        </w:numPr>
      </w:pPr>
      <w:r>
        <w:t xml:space="preserve">interoperabilidad en salud</w:t>
      </w:r>
    </w:p>
    <w:p>
      <w:pPr>
        <w:pStyle w:val="Compact"/>
        <w:numPr>
          <w:ilvl w:val="0"/>
          <w:numId w:val="1001"/>
        </w:numPr>
      </w:pPr>
      <w:r>
        <w:t xml:space="preserve">historia clínica electrónica</w:t>
      </w:r>
    </w:p>
    <w:p>
      <w:pPr>
        <w:pStyle w:val="Compact"/>
        <w:numPr>
          <w:ilvl w:val="0"/>
          <w:numId w:val="1001"/>
        </w:numPr>
      </w:pPr>
      <w:r>
        <w:t xml:space="preserve">sistemas de información asistenciales</w:t>
      </w:r>
    </w:p>
    <w:p>
      <w:pPr>
        <w:pStyle w:val="Compact"/>
        <w:numPr>
          <w:ilvl w:val="0"/>
          <w:numId w:val="1001"/>
        </w:numPr>
      </w:pPr>
      <w:r>
        <w:t xml:space="preserve">SIS</w:t>
      </w:r>
    </w:p>
    <w:p>
      <w:pPr>
        <w:pStyle w:val="Compact"/>
        <w:numPr>
          <w:ilvl w:val="0"/>
          <w:numId w:val="1001"/>
        </w:numPr>
      </w:pPr>
      <w:r>
        <w:t xml:space="preserve">MINSA</w:t>
      </w:r>
    </w:p>
    <w:p>
      <w:pPr>
        <w:pStyle w:val="Compact"/>
        <w:numPr>
          <w:ilvl w:val="0"/>
          <w:numId w:val="1001"/>
        </w:numPr>
      </w:pPr>
      <w:r>
        <w:t xml:space="preserve">RNIEDS</w:t>
      </w:r>
    </w:p>
    <w:p>
      <w:pPr>
        <w:pStyle w:val="Compact"/>
        <w:numPr>
          <w:ilvl w:val="0"/>
          <w:numId w:val="1001"/>
        </w:numPr>
      </w:pPr>
      <w:r>
        <w:t xml:space="preserve">PIDESALUD</w:t>
      </w:r>
    </w:p>
    <w:p>
      <w:pPr>
        <w:pStyle w:val="Compact"/>
        <w:numPr>
          <w:ilvl w:val="0"/>
          <w:numId w:val="1001"/>
        </w:numPr>
      </w:pPr>
      <w:r>
        <w:t xml:space="preserve">IEDS</w:t>
      </w:r>
    </w:p>
    <w:p>
      <w:pPr>
        <w:pStyle w:val="Compact"/>
        <w:numPr>
          <w:ilvl w:val="0"/>
          <w:numId w:val="1001"/>
        </w:numPr>
      </w:pPr>
      <w:r>
        <w:t xml:space="preserve">CIE-10</w:t>
      </w:r>
    </w:p>
    <w:p>
      <w:pPr>
        <w:pStyle w:val="Compact"/>
        <w:numPr>
          <w:ilvl w:val="0"/>
          <w:numId w:val="1001"/>
        </w:numPr>
      </w:pPr>
      <w:r>
        <w:t xml:space="preserve">CPMS</w:t>
      </w:r>
    </w:p>
    <w:p>
      <w:pPr>
        <w:pStyle w:val="Compact"/>
        <w:numPr>
          <w:ilvl w:val="0"/>
          <w:numId w:val="1001"/>
        </w:numPr>
      </w:pPr>
      <w:r>
        <w:t xml:space="preserve">calidad de dato clínico</w:t>
      </w:r>
    </w:p>
    <w:p>
      <w:pPr>
        <w:pStyle w:val="Compact"/>
        <w:numPr>
          <w:ilvl w:val="0"/>
          <w:numId w:val="1001"/>
        </w:numPr>
      </w:pPr>
      <w:r>
        <w:t xml:space="preserve">continuidad de atención</w:t>
      </w:r>
    </w:p>
    <w:p>
      <w:pPr>
        <w:pStyle w:val="Compact"/>
        <w:numPr>
          <w:ilvl w:val="0"/>
          <w:numId w:val="1001"/>
        </w:numPr>
      </w:pPr>
      <w:r>
        <w:t xml:space="preserve">HL7 FHIR</w:t>
      </w:r>
    </w:p>
    <w:p>
      <w:pPr>
        <w:pStyle w:val="Compact"/>
        <w:numPr>
          <w:ilvl w:val="0"/>
          <w:numId w:val="1001"/>
        </w:numPr>
      </w:pPr>
      <w:r>
        <w:t xml:space="preserve">implementación de interoperabilidad</w:t>
      </w:r>
    </w:p>
    <w:bookmarkEnd w:id="10"/>
    <w:bookmarkStart w:id="11" w:name="palabras-clave-equivalentes-inglés"/>
    <w:p>
      <w:pPr>
        <w:pStyle w:val="Heading3"/>
      </w:pPr>
      <w:r>
        <w:t xml:space="preserve">Palabras clave equivalentes (inglés)</w:t>
      </w:r>
    </w:p>
    <w:p>
      <w:pPr>
        <w:pStyle w:val="Compact"/>
        <w:numPr>
          <w:ilvl w:val="0"/>
          <w:numId w:val="1002"/>
        </w:numPr>
      </w:pPr>
      <w:r>
        <w:t xml:space="preserve">health information interoperability</w:t>
      </w:r>
    </w:p>
    <w:p>
      <w:pPr>
        <w:pStyle w:val="Compact"/>
        <w:numPr>
          <w:ilvl w:val="0"/>
          <w:numId w:val="1002"/>
        </w:numPr>
      </w:pPr>
      <w:r>
        <w:t xml:space="preserve">electronic health record interoperability</w:t>
      </w:r>
    </w:p>
    <w:p>
      <w:pPr>
        <w:pStyle w:val="Compact"/>
        <w:numPr>
          <w:ilvl w:val="0"/>
          <w:numId w:val="1002"/>
        </w:numPr>
      </w:pPr>
      <w:r>
        <w:t xml:space="preserve">EHR interoperability</w:t>
      </w:r>
    </w:p>
    <w:p>
      <w:pPr>
        <w:pStyle w:val="Compact"/>
        <w:numPr>
          <w:ilvl w:val="0"/>
          <w:numId w:val="1002"/>
        </w:numPr>
      </w:pPr>
      <w:r>
        <w:t xml:space="preserve">HL7 FHIR</w:t>
      </w:r>
    </w:p>
    <w:p>
      <w:pPr>
        <w:pStyle w:val="Compact"/>
        <w:numPr>
          <w:ilvl w:val="0"/>
          <w:numId w:val="1002"/>
        </w:numPr>
      </w:pPr>
      <w:r>
        <w:t xml:space="preserve">FHIR implementation</w:t>
      </w:r>
    </w:p>
    <w:p>
      <w:pPr>
        <w:pStyle w:val="Compact"/>
        <w:numPr>
          <w:ilvl w:val="0"/>
          <w:numId w:val="1002"/>
        </w:numPr>
      </w:pPr>
      <w:r>
        <w:t xml:space="preserve">DICOM</w:t>
      </w:r>
    </w:p>
    <w:p>
      <w:pPr>
        <w:pStyle w:val="Compact"/>
        <w:numPr>
          <w:ilvl w:val="0"/>
          <w:numId w:val="1002"/>
        </w:numPr>
      </w:pPr>
      <w:r>
        <w:t xml:space="preserve">semantic interoperability</w:t>
      </w:r>
    </w:p>
    <w:p>
      <w:pPr>
        <w:pStyle w:val="Compact"/>
        <w:numPr>
          <w:ilvl w:val="0"/>
          <w:numId w:val="1002"/>
        </w:numPr>
      </w:pPr>
      <w:r>
        <w:t xml:space="preserve">health information exchange (HIE)</w:t>
      </w:r>
    </w:p>
    <w:p>
      <w:pPr>
        <w:pStyle w:val="Compact"/>
        <w:numPr>
          <w:ilvl w:val="0"/>
          <w:numId w:val="1002"/>
        </w:numPr>
      </w:pPr>
      <w:r>
        <w:t xml:space="preserve">patient record continuity</w:t>
      </w:r>
    </w:p>
    <w:p>
      <w:pPr>
        <w:pStyle w:val="Compact"/>
        <w:numPr>
          <w:ilvl w:val="0"/>
          <w:numId w:val="1002"/>
        </w:numPr>
      </w:pPr>
      <w:r>
        <w:t xml:space="preserve">clinical coding quality</w:t>
      </w:r>
    </w:p>
    <w:p>
      <w:pPr>
        <w:pStyle w:val="Compact"/>
        <w:numPr>
          <w:ilvl w:val="0"/>
          <w:numId w:val="1002"/>
        </w:numPr>
      </w:pPr>
      <w:r>
        <w:t xml:space="preserve">health data standards</w:t>
      </w:r>
    </w:p>
    <w:p>
      <w:pPr>
        <w:pStyle w:val="Compact"/>
        <w:numPr>
          <w:ilvl w:val="0"/>
          <w:numId w:val="1002"/>
        </w:numPr>
      </w:pPr>
      <w:r>
        <w:t xml:space="preserve">HAPI-FHIR</w:t>
      </w:r>
    </w:p>
    <w:bookmarkEnd w:id="11"/>
    <w:bookmarkStart w:id="12" w:name="combinaciones-sugeridas-para-búsqueda"/>
    <w:p>
      <w:pPr>
        <w:pStyle w:val="Heading3"/>
      </w:pPr>
      <w:r>
        <w:t xml:space="preserve">Combinaciones sugeridas para búsqueda</w:t>
      </w:r>
    </w:p>
    <w:p>
      <w:pPr>
        <w:pStyle w:val="Compact"/>
        <w:numPr>
          <w:ilvl w:val="0"/>
          <w:numId w:val="1003"/>
        </w:numPr>
      </w:pPr>
      <w:r>
        <w:t xml:space="preserve">“health information interoperability”</w:t>
      </w:r>
      <w:r>
        <w:t xml:space="preserve"> </w:t>
      </w:r>
      <w:r>
        <w:t xml:space="preserve">AND</w:t>
      </w:r>
      <w:r>
        <w:t xml:space="preserve"> </w:t>
      </w:r>
      <w:r>
        <w:t xml:space="preserve">“electronic health record”</w:t>
      </w:r>
      <w:r>
        <w:t xml:space="preserve"> </w:t>
      </w:r>
      <w:r>
        <w:t xml:space="preserve">AND (HL7 OR FHIR)</w:t>
      </w:r>
    </w:p>
    <w:p>
      <w:pPr>
        <w:pStyle w:val="Compact"/>
        <w:numPr>
          <w:ilvl w:val="0"/>
          <w:numId w:val="1003"/>
        </w:numPr>
      </w:pPr>
      <w:r>
        <w:t xml:space="preserve">“FHIR implementation”</w:t>
      </w:r>
      <w:r>
        <w:t xml:space="preserve"> </w:t>
      </w:r>
      <w:r>
        <w:t xml:space="preserve">AND</w:t>
      </w:r>
      <w:r>
        <w:t xml:space="preserve"> </w:t>
      </w:r>
      <w:r>
        <w:t xml:space="preserve">“pilot”</w:t>
      </w:r>
      <w:r>
        <w:t xml:space="preserve"> </w:t>
      </w:r>
      <w:r>
        <w:t xml:space="preserve">AND (</w:t>
      </w:r>
      <w:r>
        <w:t xml:space="preserve">“hospital”</w:t>
      </w:r>
      <w:r>
        <w:t xml:space="preserve"> </w:t>
      </w:r>
      <w:r>
        <w:t xml:space="preserve">OR</w:t>
      </w:r>
      <w:r>
        <w:t xml:space="preserve"> </w:t>
      </w:r>
      <w:r>
        <w:t xml:space="preserve">“primary care”</w:t>
      </w:r>
      <w:r>
        <w:t xml:space="preserve">)</w:t>
      </w:r>
    </w:p>
    <w:p>
      <w:pPr>
        <w:pStyle w:val="Compact"/>
        <w:numPr>
          <w:ilvl w:val="0"/>
          <w:numId w:val="1003"/>
        </w:numPr>
      </w:pPr>
      <w:r>
        <w:t xml:space="preserve">“semantic interoperability”</w:t>
      </w:r>
      <w:r>
        <w:t xml:space="preserve"> </w:t>
      </w:r>
      <w:r>
        <w:t xml:space="preserve">AND</w:t>
      </w:r>
      <w:r>
        <w:t xml:space="preserve"> </w:t>
      </w:r>
      <w:r>
        <w:t xml:space="preserve">“clinical data”</w:t>
      </w:r>
      <w:r>
        <w:t xml:space="preserve"> </w:t>
      </w:r>
      <w:r>
        <w:t xml:space="preserve">AND (CIE-10 OR coding)</w:t>
      </w:r>
    </w:p>
    <w:p>
      <w:pPr>
        <w:pStyle w:val="Compact"/>
        <w:numPr>
          <w:ilvl w:val="0"/>
          <w:numId w:val="1003"/>
        </w:numPr>
      </w:pPr>
      <w:r>
        <w:t xml:space="preserve">“health information exchange”</w:t>
      </w:r>
      <w:r>
        <w:t xml:space="preserve"> </w:t>
      </w:r>
      <w:r>
        <w:t xml:space="preserve">AND</w:t>
      </w:r>
      <w:r>
        <w:t xml:space="preserve"> </w:t>
      </w:r>
      <w:r>
        <w:t xml:space="preserve">“hospital interoperability”</w:t>
      </w:r>
      <w:r>
        <w:t xml:space="preserve"> </w:t>
      </w:r>
      <w:r>
        <w:t xml:space="preserve">AND</w:t>
      </w:r>
      <w:r>
        <w:t xml:space="preserve"> </w:t>
      </w:r>
      <w:r>
        <w:t xml:space="preserve">“patient continuity”</w:t>
      </w:r>
    </w:p>
    <w:p>
      <w:pPr>
        <w:pStyle w:val="Compact"/>
        <w:numPr>
          <w:ilvl w:val="0"/>
          <w:numId w:val="1003"/>
        </w:numPr>
      </w:pPr>
      <w:r>
        <w:t xml:space="preserve">“Peru”</w:t>
      </w:r>
      <w:r>
        <w:t xml:space="preserve"> </w:t>
      </w:r>
      <w:r>
        <w:t xml:space="preserve">AND</w:t>
      </w:r>
      <w:r>
        <w:t xml:space="preserve"> </w:t>
      </w:r>
      <w:r>
        <w:t xml:space="preserve">“electronic health record interoperability”</w:t>
      </w:r>
    </w:p>
    <w:p>
      <w:pPr>
        <w:pStyle w:val="Compact"/>
        <w:numPr>
          <w:ilvl w:val="0"/>
          <w:numId w:val="1003"/>
        </w:numPr>
      </w:pPr>
      <w:r>
        <w:t xml:space="preserve">“FHIR”</w:t>
      </w:r>
      <w:r>
        <w:t xml:space="preserve"> </w:t>
      </w:r>
      <w:r>
        <w:t xml:space="preserve">AND</w:t>
      </w:r>
      <w:r>
        <w:t xml:space="preserve"> </w:t>
      </w:r>
      <w:r>
        <w:t xml:space="preserve">“data quality”</w:t>
      </w:r>
      <w:r>
        <w:t xml:space="preserve"> </w:t>
      </w:r>
      <w:r>
        <w:t xml:space="preserve">AND</w:t>
      </w:r>
      <w:r>
        <w:t xml:space="preserve"> </w:t>
      </w:r>
      <w:r>
        <w:t xml:space="preserve">“improvement”</w:t>
      </w:r>
    </w:p>
    <w:p>
      <w:pPr>
        <w:pStyle w:val="Compact"/>
        <w:numPr>
          <w:ilvl w:val="0"/>
          <w:numId w:val="1003"/>
        </w:numPr>
      </w:pPr>
      <w:r>
        <w:t xml:space="preserve">“interoperability”</w:t>
      </w:r>
      <w:r>
        <w:t xml:space="preserve"> </w:t>
      </w:r>
      <w:r>
        <w:t xml:space="preserve">AND</w:t>
      </w:r>
      <w:r>
        <w:t xml:space="preserve"> </w:t>
      </w:r>
      <w:r>
        <w:t xml:space="preserve">“SIS”</w:t>
      </w:r>
      <w:r>
        <w:t xml:space="preserve"> </w:t>
      </w:r>
      <w:r>
        <w:t xml:space="preserve">AND</w:t>
      </w:r>
      <w:r>
        <w:t xml:space="preserve"> </w:t>
      </w:r>
      <w:r>
        <w:t xml:space="preserve">“MINSA”</w:t>
      </w:r>
      <w:r>
        <w:t xml:space="preserve"> </w:t>
      </w:r>
      <w:r>
        <w:t xml:space="preserve">(para literatura local y gris)</w:t>
      </w:r>
    </w:p>
    <w:bookmarkEnd w:id="12"/>
    <w:bookmarkEnd w:id="13"/>
    <w:bookmarkStart w:id="17" w:name="paso-2.-búsqueda-en-web"/>
    <w:p>
      <w:pPr>
        <w:pStyle w:val="Heading2"/>
      </w:pPr>
      <w:r>
        <w:t xml:space="preserve">Paso 2. Búsqueda en web</w:t>
      </w:r>
    </w:p>
    <w:bookmarkStart w:id="14" w:name="criterios-aplicados"/>
    <w:p>
      <w:pPr>
        <w:pStyle w:val="Heading3"/>
      </w:pPr>
      <w:r>
        <w:t xml:space="preserve">Criterios aplicados</w:t>
      </w:r>
    </w:p>
    <w:p>
      <w:pPr>
        <w:pStyle w:val="Compact"/>
        <w:numPr>
          <w:ilvl w:val="0"/>
          <w:numId w:val="1004"/>
        </w:numPr>
      </w:pPr>
      <w:r>
        <w:t xml:space="preserve">Ventana temporal: 2022-2026</w:t>
      </w:r>
    </w:p>
    <w:p>
      <w:pPr>
        <w:pStyle w:val="Compact"/>
        <w:numPr>
          <w:ilvl w:val="0"/>
          <w:numId w:val="1004"/>
        </w:numPr>
      </w:pPr>
      <w:r>
        <w:t xml:space="preserve">Tipo de documento: journal article</w:t>
      </w:r>
    </w:p>
    <w:p>
      <w:pPr>
        <w:pStyle w:val="Compact"/>
        <w:numPr>
          <w:ilvl w:val="0"/>
          <w:numId w:val="1004"/>
        </w:numPr>
      </w:pPr>
      <w:r>
        <w:t xml:space="preserve">Idioma: inglés preferente (y español cuando aporte contexto local)</w:t>
      </w:r>
    </w:p>
    <w:p>
      <w:pPr>
        <w:pStyle w:val="Compact"/>
        <w:numPr>
          <w:ilvl w:val="0"/>
          <w:numId w:val="1004"/>
        </w:numPr>
      </w:pPr>
      <w:r>
        <w:t xml:space="preserve">Foco temático: interoperabilidad técnica y semántica, implementación de FHIR, evaluación de calidad de datos clínicos</w:t>
      </w:r>
    </w:p>
    <w:bookmarkEnd w:id="14"/>
    <w:bookmarkStart w:id="15" w:name="fuentes-usadas"/>
    <w:p>
      <w:pPr>
        <w:pStyle w:val="Heading3"/>
      </w:pPr>
      <w:r>
        <w:t xml:space="preserve">Fuentes usadas</w:t>
      </w:r>
    </w:p>
    <w:p>
      <w:pPr>
        <w:pStyle w:val="Compact"/>
        <w:numPr>
          <w:ilvl w:val="0"/>
          <w:numId w:val="1005"/>
        </w:numPr>
      </w:pPr>
      <w:r>
        <w:t xml:space="preserve">Crossref API (extracción de metadatos y DOI)</w:t>
      </w:r>
    </w:p>
    <w:p>
      <w:pPr>
        <w:pStyle w:val="Compact"/>
        <w:numPr>
          <w:ilvl w:val="0"/>
          <w:numId w:val="1005"/>
        </w:numPr>
      </w:pPr>
      <w:r>
        <w:t xml:space="preserve">Páginas institucionales de estándares (HL7, DICOM, OMS)</w:t>
      </w:r>
    </w:p>
    <w:bookmarkEnd w:id="15"/>
    <w:bookmarkStart w:id="16" w:name="nota-metodológica"/>
    <w:p>
      <w:pPr>
        <w:pStyle w:val="Heading3"/>
      </w:pPr>
      <w:r>
        <w:t xml:space="preserve">Nota metodológica</w:t>
      </w:r>
    </w:p>
    <w:p>
      <w:pPr>
        <w:pStyle w:val="FirstParagraph"/>
      </w:pPr>
      <w:r>
        <w:t xml:space="preserve">El criterio de cuartil Q1/Q2 no se puede confirmar al 100% solo con Crossref; para defensa formal se recomienda validar cada revista en Scopus/SCImago o Web of Science.</w:t>
      </w:r>
    </w:p>
    <w:bookmarkEnd w:id="16"/>
    <w:bookmarkEnd w:id="17"/>
    <w:bookmarkStart w:id="30" w:name="X900ad0cabc2cde956202514cd9be84cd2768728"/>
    <w:p>
      <w:pPr>
        <w:pStyle w:val="Heading2"/>
      </w:pPr>
      <w:r>
        <w:t xml:space="preserve">Paso 3. Artículos encontrados (selección final — 18 artículos)</w:t>
      </w:r>
    </w:p>
    <w:p>
      <w:pPr>
        <w:pStyle w:val="FirstParagraph"/>
      </w:pPr>
      <w:r>
        <w:t xml:space="preserve">Se consolidó una muestra de 18 artículos recientes con DOI verificable, organizados según su aporte a las fases del modelo propuesto.</w:t>
      </w:r>
    </w:p>
    <w:bookmarkStart w:id="18" w:name="X31ffee228e47e4e9500a31ad6f977d829b8a8eb"/>
    <w:p>
      <w:pPr>
        <w:pStyle w:val="Heading3"/>
      </w:pPr>
      <w:r>
        <w:t xml:space="preserve">3.1 Artículos sobre interoperabilidad, diagnóstico y brechas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Año</w:t>
            </w:r>
          </w:p>
        </w:tc>
        <w:tc>
          <w:tcPr/>
          <w:p>
            <w:pPr>
              <w:pStyle w:val="Compact"/>
            </w:pPr>
            <w:r>
              <w:t xml:space="preserve">Artículo</w:t>
            </w:r>
          </w:p>
        </w:tc>
        <w:tc>
          <w:tcPr/>
          <w:p>
            <w:pPr>
              <w:pStyle w:val="Compact"/>
            </w:pPr>
            <w:r>
              <w:t xml:space="preserve">Revista</w:t>
            </w:r>
          </w:p>
        </w:tc>
        <w:tc>
          <w:tcPr/>
          <w:p>
            <w:pPr>
              <w:pStyle w:val="Compact"/>
            </w:pPr>
            <w:r>
              <w:t xml:space="preserve">DOI</w:t>
            </w:r>
          </w:p>
        </w:tc>
        <w:tc>
          <w:tcPr/>
          <w:p>
            <w:pPr>
              <w:pStyle w:val="Compact"/>
            </w:pPr>
            <w:r>
              <w:t xml:space="preserve">En donde esta disponible</w:t>
            </w:r>
          </w:p>
        </w:tc>
      </w:tr>
      <w:tr>
        <w:tc>
          <w:tcPr/>
          <w:p>
            <w:pPr>
              <w:pStyle w:val="Compact"/>
            </w:pPr>
            <w:r>
              <w:t xml:space="preserve">2025</w:t>
            </w:r>
          </w:p>
        </w:tc>
        <w:tc>
          <w:tcPr/>
          <w:p>
            <w:pPr>
              <w:pStyle w:val="Compact"/>
            </w:pPr>
            <w:r>
              <w:t xml:space="preserve">Assessing the value of health information exchange organizations to hospital interoperability</w:t>
            </w:r>
          </w:p>
        </w:tc>
        <w:tc>
          <w:tcPr/>
          <w:p>
            <w:pPr>
              <w:pStyle w:val="Compact"/>
            </w:pPr>
            <w:r>
              <w:t xml:space="preserve">Health Affairs Scholar</w:t>
            </w:r>
          </w:p>
        </w:tc>
        <w:tc>
          <w:tcPr/>
          <w:p>
            <w:pPr>
              <w:pStyle w:val="Compact"/>
            </w:pPr>
            <w:r>
              <w:t xml:space="preserve">10.1093/haschl/qxaf133</w:t>
            </w:r>
          </w:p>
        </w:tc>
        <w:tc>
          <w:tcPr/>
          <w:p>
            <w:pPr>
              <w:pStyle w:val="Compact"/>
            </w:pPr>
            <w:r>
              <w:t xml:space="preserve">doi.org + Oxford Academic</w:t>
            </w:r>
          </w:p>
        </w:tc>
      </w:tr>
      <w:tr>
        <w:tc>
          <w:tcPr/>
          <w:p>
            <w:pPr>
              <w:pStyle w:val="Compact"/>
            </w:pPr>
            <w:r>
              <w:t xml:space="preserve">2024</w:t>
            </w:r>
          </w:p>
        </w:tc>
        <w:tc>
          <w:tcPr/>
          <w:p>
            <w:pPr>
              <w:pStyle w:val="Compact"/>
            </w:pPr>
            <w:r>
              <w:t xml:space="preserve">State-of-the-Art Fast Healthcare Interoperability Resources (FHIR)-Based Data Model and Structure Implementations: Systematic Scoping Review</w:t>
            </w:r>
          </w:p>
        </w:tc>
        <w:tc>
          <w:tcPr/>
          <w:p>
            <w:pPr>
              <w:pStyle w:val="Compact"/>
            </w:pPr>
            <w:r>
              <w:t xml:space="preserve">JMIR Medical Informatics</w:t>
            </w:r>
          </w:p>
        </w:tc>
        <w:tc>
          <w:tcPr/>
          <w:p>
            <w:pPr>
              <w:pStyle w:val="Compact"/>
            </w:pPr>
            <w:r>
              <w:t xml:space="preserve">10.2196/58445</w:t>
            </w:r>
          </w:p>
        </w:tc>
        <w:tc>
          <w:tcPr/>
          <w:p>
            <w:pPr>
              <w:pStyle w:val="Compact"/>
            </w:pPr>
            <w:r>
              <w:t xml:space="preserve">doi.org + JMIR</w:t>
            </w:r>
          </w:p>
        </w:tc>
      </w:tr>
      <w:tr>
        <w:tc>
          <w:tcPr/>
          <w:p>
            <w:pPr>
              <w:pStyle w:val="Compact"/>
            </w:pPr>
            <w:r>
              <w:t xml:space="preserve">2024</w:t>
            </w:r>
          </w:p>
        </w:tc>
        <w:tc>
          <w:tcPr/>
          <w:p>
            <w:pPr>
              <w:pStyle w:val="Compact"/>
            </w:pPr>
            <w:r>
              <w:t xml:space="preserve">Electronic Health Record and Semantic Issues Using Fast Healthcare Interoperability Resources: Systematic Mapping Review</w:t>
            </w:r>
          </w:p>
        </w:tc>
        <w:tc>
          <w:tcPr/>
          <w:p>
            <w:pPr>
              <w:pStyle w:val="Compact"/>
            </w:pPr>
            <w:r>
              <w:t xml:space="preserve">Journal of Medical Internet Research</w:t>
            </w:r>
          </w:p>
        </w:tc>
        <w:tc>
          <w:tcPr/>
          <w:p>
            <w:pPr>
              <w:pStyle w:val="Compact"/>
            </w:pPr>
            <w:r>
              <w:t xml:space="preserve">10.2196/45209</w:t>
            </w:r>
          </w:p>
        </w:tc>
        <w:tc>
          <w:tcPr/>
          <w:p>
            <w:pPr>
              <w:pStyle w:val="Compact"/>
            </w:pPr>
            <w:r>
              <w:t xml:space="preserve">doi.org + JMIR</w:t>
            </w:r>
          </w:p>
        </w:tc>
      </w:tr>
      <w:tr>
        <w:tc>
          <w:tcPr/>
          <w:p>
            <w:pPr>
              <w:pStyle w:val="Compact"/>
            </w:pPr>
            <w:r>
              <w:t xml:space="preserve">2024</w:t>
            </w:r>
          </w:p>
        </w:tc>
        <w:tc>
          <w:tcPr/>
          <w:p>
            <w:pPr>
              <w:pStyle w:val="Compact"/>
            </w:pPr>
            <w:r>
              <w:t xml:space="preserve">Electronic Health Record Interoperability System in Peru Using Blockchain</w:t>
            </w:r>
          </w:p>
        </w:tc>
        <w:tc>
          <w:tcPr/>
          <w:p>
            <w:pPr>
              <w:pStyle w:val="Compact"/>
            </w:pPr>
            <w:r>
              <w:t xml:space="preserve">International Journal of Online and Biomedical Engineering (iJOE)</w:t>
            </w:r>
          </w:p>
        </w:tc>
        <w:tc>
          <w:tcPr/>
          <w:p>
            <w:pPr>
              <w:pStyle w:val="Compact"/>
            </w:pPr>
            <w:r>
              <w:t xml:space="preserve">10.3991/ijoe.v20i03.44507</w:t>
            </w:r>
          </w:p>
        </w:tc>
        <w:tc>
          <w:tcPr/>
          <w:p>
            <w:pPr>
              <w:pStyle w:val="Compact"/>
            </w:pPr>
            <w:r>
              <w:t xml:space="preserve">doi.org + iJOE (online-journals.org)</w:t>
            </w:r>
          </w:p>
        </w:tc>
      </w:tr>
      <w:tr>
        <w:tc>
          <w:tcPr/>
          <w:p>
            <w:pPr>
              <w:pStyle w:val="Compact"/>
            </w:pPr>
            <w:r>
              <w:t xml:space="preserve">2023</w:t>
            </w:r>
          </w:p>
        </w:tc>
        <w:tc>
          <w:tcPr/>
          <w:p>
            <w:pPr>
              <w:pStyle w:val="Compact"/>
            </w:pPr>
            <w:r>
              <w:t xml:space="preserve">Interoperability of heterogeneous health information systems: a systematic literature review</w:t>
            </w:r>
          </w:p>
        </w:tc>
        <w:tc>
          <w:tcPr/>
          <w:p>
            <w:pPr>
              <w:pStyle w:val="Compact"/>
            </w:pPr>
            <w:r>
              <w:t xml:space="preserve">BMC Medical Informatics and Decision Making</w:t>
            </w:r>
          </w:p>
        </w:tc>
        <w:tc>
          <w:tcPr/>
          <w:p>
            <w:pPr>
              <w:pStyle w:val="Compact"/>
            </w:pPr>
            <w:r>
              <w:t xml:space="preserve">10.1186/s12911-023-02115-5</w:t>
            </w:r>
          </w:p>
        </w:tc>
        <w:tc>
          <w:tcPr/>
          <w:p>
            <w:pPr>
              <w:pStyle w:val="Compact"/>
            </w:pPr>
            <w:r>
              <w:t xml:space="preserve">doi.org + BMC (Springer Nature)</w:t>
            </w:r>
          </w:p>
        </w:tc>
      </w:tr>
      <w:tr>
        <w:tc>
          <w:tcPr/>
          <w:p>
            <w:pPr>
              <w:pStyle w:val="Compact"/>
            </w:pPr>
            <w:r>
              <w:t xml:space="preserve">2023</w:t>
            </w:r>
          </w:p>
        </w:tc>
        <w:tc>
          <w:tcPr/>
          <w:p>
            <w:pPr>
              <w:pStyle w:val="Compact"/>
            </w:pPr>
            <w:r>
              <w:t xml:space="preserve">Interoperability with multiple Fast Healthcare Interoperability Resources (FHIR) profiles and versions</w:t>
            </w:r>
          </w:p>
        </w:tc>
        <w:tc>
          <w:tcPr/>
          <w:p>
            <w:pPr>
              <w:pStyle w:val="Compact"/>
            </w:pPr>
            <w:r>
              <w:t xml:space="preserve">JAMIA Open</w:t>
            </w:r>
          </w:p>
        </w:tc>
        <w:tc>
          <w:tcPr/>
          <w:p>
            <w:pPr>
              <w:pStyle w:val="Compact"/>
            </w:pPr>
            <w:r>
              <w:t xml:space="preserve">10.1093/jamiaopen/ooad001</w:t>
            </w:r>
          </w:p>
        </w:tc>
        <w:tc>
          <w:tcPr/>
          <w:p>
            <w:pPr>
              <w:pStyle w:val="Compact"/>
            </w:pPr>
            <w:r>
              <w:t xml:space="preserve">doi.org + Oxford Academic</w:t>
            </w:r>
          </w:p>
        </w:tc>
      </w:tr>
      <w:tr>
        <w:tc>
          <w:tcPr/>
          <w:p>
            <w:pPr>
              <w:pStyle w:val="Compact"/>
            </w:pPr>
            <w:r>
              <w:t xml:space="preserve">2023</w:t>
            </w:r>
          </w:p>
        </w:tc>
        <w:tc>
          <w:tcPr/>
          <w:p>
            <w:pPr>
              <w:pStyle w:val="Compact"/>
            </w:pPr>
            <w:r>
              <w:t xml:space="preserve">Federated electronic health records for the European Health Data Space</w:t>
            </w:r>
          </w:p>
        </w:tc>
        <w:tc>
          <w:tcPr/>
          <w:p>
            <w:pPr>
              <w:pStyle w:val="Compact"/>
            </w:pPr>
            <w:r>
              <w:t xml:space="preserve">The Lancet Digital Health</w:t>
            </w:r>
          </w:p>
        </w:tc>
        <w:tc>
          <w:tcPr/>
          <w:p>
            <w:pPr>
              <w:pStyle w:val="Compact"/>
            </w:pPr>
            <w:r>
              <w:t xml:space="preserve">10.1016/S2589-7500(23)00156-5</w:t>
            </w:r>
          </w:p>
        </w:tc>
        <w:tc>
          <w:tcPr/>
          <w:p>
            <w:pPr>
              <w:pStyle w:val="Compact"/>
            </w:pPr>
            <w:r>
              <w:t xml:space="preserve">doi.org + Elsevier (Lancet)</w:t>
            </w:r>
          </w:p>
        </w:tc>
      </w:tr>
      <w:tr>
        <w:tc>
          <w:tcPr/>
          <w:p>
            <w:pPr>
              <w:pStyle w:val="Compact"/>
            </w:pPr>
            <w:r>
              <w:t xml:space="preserve">2023</w:t>
            </w:r>
          </w:p>
        </w:tc>
        <w:tc>
          <w:tcPr/>
          <w:p>
            <w:pPr>
              <w:pStyle w:val="Compact"/>
            </w:pPr>
            <w:r>
              <w:t xml:space="preserve">Electronic health record interoperability using FHIR and blockchain: A bibliometric analysis and future perspective</w:t>
            </w:r>
          </w:p>
        </w:tc>
        <w:tc>
          <w:tcPr/>
          <w:p>
            <w:pPr>
              <w:pStyle w:val="Compact"/>
            </w:pPr>
            <w:r>
              <w:t xml:space="preserve">Perspectives in Clinical Research</w:t>
            </w:r>
          </w:p>
        </w:tc>
        <w:tc>
          <w:tcPr/>
          <w:p>
            <w:pPr>
              <w:pStyle w:val="Compact"/>
            </w:pPr>
            <w:r>
              <w:t xml:space="preserve">10.4103/picr.picr_272_22</w:t>
            </w:r>
          </w:p>
        </w:tc>
        <w:tc>
          <w:tcPr/>
          <w:p>
            <w:pPr>
              <w:pStyle w:val="Compact"/>
            </w:pPr>
            <w:r>
              <w:t xml:space="preserve">doi.org + Medknow/Wolters Kluwer</w:t>
            </w:r>
          </w:p>
        </w:tc>
      </w:tr>
      <w:tr>
        <w:tc>
          <w:tcPr/>
          <w:p>
            <w:pPr>
              <w:pStyle w:val="Compact"/>
            </w:pPr>
            <w:r>
              <w:t xml:space="preserve">2023</w:t>
            </w:r>
          </w:p>
        </w:tc>
        <w:tc>
          <w:tcPr/>
          <w:p>
            <w:pPr>
              <w:pStyle w:val="Compact"/>
            </w:pPr>
            <w:r>
              <w:t xml:space="preserve">Interoperability of Clinical Data through FHIR: A review</w:t>
            </w:r>
          </w:p>
        </w:tc>
        <w:tc>
          <w:tcPr/>
          <w:p>
            <w:pPr>
              <w:pStyle w:val="Compact"/>
            </w:pPr>
            <w:r>
              <w:t xml:space="preserve">Procedia Computer Science</w:t>
            </w:r>
          </w:p>
        </w:tc>
        <w:tc>
          <w:tcPr/>
          <w:p>
            <w:pPr>
              <w:pStyle w:val="Compact"/>
            </w:pPr>
            <w:r>
              <w:t xml:space="preserve">10.1016/j.procs.2023.03.115</w:t>
            </w:r>
          </w:p>
        </w:tc>
        <w:tc>
          <w:tcPr/>
          <w:p>
            <w:pPr>
              <w:pStyle w:val="Compact"/>
            </w:pPr>
            <w:r>
              <w:t xml:space="preserve">doi.org + Elsevier (Procedia)</w:t>
            </w:r>
          </w:p>
        </w:tc>
      </w:tr>
      <w:tr>
        <w:tc>
          <w:tcPr/>
          <w:p>
            <w:pPr>
              <w:pStyle w:val="Compact"/>
            </w:pPr>
            <w:r>
              <w:t xml:space="preserve">2023</w:t>
            </w:r>
          </w:p>
        </w:tc>
        <w:tc>
          <w:tcPr/>
          <w:p>
            <w:pPr>
              <w:pStyle w:val="Compact"/>
            </w:pPr>
            <w:r>
              <w:t xml:space="preserve">Health Information Exchange: Understanding the Policy Landscape and Future of Data Interoperability</w:t>
            </w:r>
          </w:p>
        </w:tc>
        <w:tc>
          <w:tcPr/>
          <w:p>
            <w:pPr>
              <w:pStyle w:val="Compact"/>
            </w:pPr>
            <w:r>
              <w:t xml:space="preserve">Yearbook of Medical Informatics</w:t>
            </w:r>
          </w:p>
        </w:tc>
        <w:tc>
          <w:tcPr/>
          <w:p>
            <w:pPr>
              <w:pStyle w:val="Compact"/>
            </w:pPr>
            <w:r>
              <w:t xml:space="preserve">10.1055/s-0043-1768719</w:t>
            </w:r>
          </w:p>
        </w:tc>
        <w:tc>
          <w:tcPr/>
          <w:p>
            <w:pPr>
              <w:pStyle w:val="Compact"/>
            </w:pPr>
            <w:r>
              <w:t xml:space="preserve">doi.org + Thieme</w:t>
            </w:r>
          </w:p>
        </w:tc>
      </w:tr>
    </w:tbl>
    <w:bookmarkEnd w:id="18"/>
    <w:bookmarkStart w:id="19" w:name="Xcdc2f36815afc81afb315dea0e7c838e569c35e"/>
    <w:p>
      <w:pPr>
        <w:pStyle w:val="Heading3"/>
      </w:pPr>
      <w:r>
        <w:t xml:space="preserve">3.2 Artículos sobre implementación FHIR y evaluación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Año</w:t>
            </w:r>
          </w:p>
        </w:tc>
        <w:tc>
          <w:tcPr/>
          <w:p>
            <w:pPr>
              <w:pStyle w:val="Compact"/>
            </w:pPr>
            <w:r>
              <w:t xml:space="preserve">Artículo</w:t>
            </w:r>
          </w:p>
        </w:tc>
        <w:tc>
          <w:tcPr/>
          <w:p>
            <w:pPr>
              <w:pStyle w:val="Compact"/>
            </w:pPr>
            <w:r>
              <w:t xml:space="preserve">Revista</w:t>
            </w:r>
          </w:p>
        </w:tc>
        <w:tc>
          <w:tcPr/>
          <w:p>
            <w:pPr>
              <w:pStyle w:val="Compact"/>
            </w:pPr>
            <w:r>
              <w:t xml:space="preserve">DOI</w:t>
            </w:r>
          </w:p>
        </w:tc>
        <w:tc>
          <w:tcPr/>
          <w:p>
            <w:pPr>
              <w:pStyle w:val="Compact"/>
            </w:pPr>
            <w:r>
              <w:t xml:space="preserve">En donde esta disponible</w:t>
            </w:r>
          </w:p>
        </w:tc>
      </w:tr>
      <w:tr>
        <w:tc>
          <w:tcPr/>
          <w:p>
            <w:pPr>
              <w:pStyle w:val="Compact"/>
            </w:pPr>
            <w:r>
              <w:t xml:space="preserve">2026</w:t>
            </w:r>
          </w:p>
        </w:tc>
        <w:tc>
          <w:tcPr/>
          <w:p>
            <w:pPr>
              <w:pStyle w:val="Compact"/>
            </w:pPr>
            <w:r>
              <w:t xml:space="preserve">End-to-End Clinical Data Interoperability: A Practical Implementation Blueprint Using HL7, FHIR, CCD, and EHR Standards</w:t>
            </w:r>
          </w:p>
        </w:tc>
        <w:tc>
          <w:tcPr/>
          <w:p>
            <w:pPr>
              <w:pStyle w:val="Compact"/>
            </w:pPr>
            <w:r>
              <w:t xml:space="preserve">International Journal of Multidisciplinary and Scientific Emerging Research</w:t>
            </w:r>
          </w:p>
        </w:tc>
        <w:tc>
          <w:tcPr/>
          <w:p>
            <w:pPr>
              <w:pStyle w:val="Compact"/>
            </w:pPr>
            <w:r>
              <w:t xml:space="preserve">10.15662/ijmserh.2026.1401004</w:t>
            </w:r>
          </w:p>
        </w:tc>
        <w:tc>
          <w:tcPr/>
          <w:p>
            <w:pPr>
              <w:pStyle w:val="Compact"/>
            </w:pPr>
            <w:r>
              <w:t xml:space="preserve">doi.org + sitio editorial de la revista</w:t>
            </w:r>
          </w:p>
        </w:tc>
      </w:tr>
      <w:tr>
        <w:tc>
          <w:tcPr/>
          <w:p>
            <w:pPr>
              <w:pStyle w:val="Compact"/>
            </w:pPr>
            <w:r>
              <w:t xml:space="preserve">2025</w:t>
            </w:r>
          </w:p>
        </w:tc>
        <w:tc>
          <w:tcPr/>
          <w:p>
            <w:pPr>
              <w:pStyle w:val="Compact"/>
            </w:pPr>
            <w:r>
              <w:t xml:space="preserve">A Federated Interoperability Framework for Seamless Health Data Exchange Using FHIR Standards Across Multi-Hospital Systems</w:t>
            </w:r>
          </w:p>
        </w:tc>
        <w:tc>
          <w:tcPr/>
          <w:p>
            <w:pPr>
              <w:pStyle w:val="Compact"/>
            </w:pPr>
            <w:r>
              <w:t xml:space="preserve">Engineering and Technology Journal</w:t>
            </w:r>
          </w:p>
        </w:tc>
        <w:tc>
          <w:tcPr/>
          <w:p>
            <w:pPr>
              <w:pStyle w:val="Compact"/>
            </w:pPr>
            <w:r>
              <w:t xml:space="preserve">10.47191/etj/v10i05.03</w:t>
            </w:r>
          </w:p>
        </w:tc>
        <w:tc>
          <w:tcPr/>
          <w:p>
            <w:pPr>
              <w:pStyle w:val="Compact"/>
            </w:pPr>
            <w:r>
              <w:t xml:space="preserve">doi.org + sitio editorial de la revista</w:t>
            </w:r>
          </w:p>
        </w:tc>
      </w:tr>
      <w:tr>
        <w:tc>
          <w:tcPr/>
          <w:p>
            <w:pPr>
              <w:pStyle w:val="Compact"/>
            </w:pPr>
            <w:r>
              <w:t xml:space="preserve">2025</w:t>
            </w:r>
          </w:p>
        </w:tc>
        <w:tc>
          <w:tcPr/>
          <w:p>
            <w:pPr>
              <w:pStyle w:val="Compact"/>
            </w:pPr>
            <w:r>
              <w:t xml:space="preserve">Fast Healthcare Interoperability Resources (FHIR)-Based Interoperability Design in Indonesia: Content Analysis</w:t>
            </w:r>
          </w:p>
        </w:tc>
        <w:tc>
          <w:tcPr/>
          <w:p>
            <w:pPr>
              <w:pStyle w:val="Compact"/>
            </w:pPr>
            <w:r>
              <w:t xml:space="preserve">JMIR Formative Research</w:t>
            </w:r>
          </w:p>
        </w:tc>
        <w:tc>
          <w:tcPr/>
          <w:p>
            <w:pPr>
              <w:pStyle w:val="Compact"/>
            </w:pPr>
            <w:r>
              <w:t xml:space="preserve">10.2196/51270</w:t>
            </w:r>
          </w:p>
        </w:tc>
        <w:tc>
          <w:tcPr/>
          <w:p>
            <w:pPr>
              <w:pStyle w:val="Compact"/>
            </w:pPr>
            <w:r>
              <w:t xml:space="preserve">doi.org + JMIR</w:t>
            </w:r>
          </w:p>
        </w:tc>
      </w:tr>
      <w:tr>
        <w:tc>
          <w:tcPr/>
          <w:p>
            <w:pPr>
              <w:pStyle w:val="Compact"/>
            </w:pPr>
            <w:r>
              <w:t xml:space="preserve">2024</w:t>
            </w:r>
          </w:p>
        </w:tc>
        <w:tc>
          <w:tcPr/>
          <w:p>
            <w:pPr>
              <w:pStyle w:val="Compact"/>
            </w:pPr>
            <w:r>
              <w:t xml:space="preserve">Interoperability of health data using FHIR Mapping Language: transforming HL7 CDA to FHIR with reusable visual components</w:t>
            </w:r>
          </w:p>
        </w:tc>
        <w:tc>
          <w:tcPr/>
          <w:p>
            <w:pPr>
              <w:pStyle w:val="Compact"/>
            </w:pPr>
            <w:r>
              <w:t xml:space="preserve">Frontiers in Digital Health</w:t>
            </w:r>
          </w:p>
        </w:tc>
        <w:tc>
          <w:tcPr/>
          <w:p>
            <w:pPr>
              <w:pStyle w:val="Compact"/>
            </w:pPr>
            <w:r>
              <w:t xml:space="preserve">10.3389/fdgth.2024.1480600</w:t>
            </w:r>
          </w:p>
        </w:tc>
        <w:tc>
          <w:tcPr/>
          <w:p>
            <w:pPr>
              <w:pStyle w:val="Compact"/>
            </w:pPr>
            <w:r>
              <w:t xml:space="preserve">doi.org + Frontiers</w:t>
            </w:r>
          </w:p>
        </w:tc>
      </w:tr>
      <w:tr>
        <w:tc>
          <w:tcPr/>
          <w:p>
            <w:pPr>
              <w:pStyle w:val="Compact"/>
            </w:pPr>
            <w:r>
              <w:t xml:space="preserve">2024</w:t>
            </w:r>
          </w:p>
        </w:tc>
        <w:tc>
          <w:tcPr/>
          <w:p>
            <w:pPr>
              <w:pStyle w:val="Compact"/>
            </w:pPr>
            <w:r>
              <w:t xml:space="preserve">HAPI-FHIR Server Implementation to Enhancing Interoperability among Primary Care Health Information Systems in Indonesia</w:t>
            </w:r>
          </w:p>
        </w:tc>
        <w:tc>
          <w:tcPr/>
          <w:p>
            <w:pPr>
              <w:pStyle w:val="Compact"/>
            </w:pPr>
            <w:r>
              <w:t xml:space="preserve">European Modern Studies Journal</w:t>
            </w:r>
          </w:p>
        </w:tc>
        <w:tc>
          <w:tcPr/>
          <w:p>
            <w:pPr>
              <w:pStyle w:val="Compact"/>
            </w:pPr>
            <w:r>
              <w:t xml:space="preserve">10.59573/emsj.7(6).2023.23</w:t>
            </w:r>
          </w:p>
        </w:tc>
        <w:tc>
          <w:tcPr/>
          <w:p>
            <w:pPr>
              <w:pStyle w:val="Compact"/>
            </w:pPr>
            <w:r>
              <w:t xml:space="preserve">doi.org + sitio editorial de la revista</w:t>
            </w:r>
          </w:p>
        </w:tc>
      </w:tr>
      <w:tr>
        <w:tc>
          <w:tcPr/>
          <w:p>
            <w:pPr>
              <w:pStyle w:val="Compact"/>
            </w:pPr>
            <w:r>
              <w:t xml:space="preserve">2023</w:t>
            </w:r>
          </w:p>
        </w:tc>
        <w:tc>
          <w:tcPr/>
          <w:p>
            <w:pPr>
              <w:pStyle w:val="Compact"/>
            </w:pPr>
            <w:r>
              <w:t xml:space="preserve">Building an Electronic Medical Record System Exchanged in FHIR Format and Its Visual Presentation</w:t>
            </w:r>
          </w:p>
        </w:tc>
        <w:tc>
          <w:tcPr/>
          <w:p>
            <w:pPr>
              <w:pStyle w:val="Compact"/>
            </w:pPr>
            <w:r>
              <w:t xml:space="preserve">Healthcare</w:t>
            </w:r>
          </w:p>
        </w:tc>
        <w:tc>
          <w:tcPr/>
          <w:p>
            <w:pPr>
              <w:pStyle w:val="Compact"/>
            </w:pPr>
            <w:r>
              <w:t xml:space="preserve">10.3390/healthcare11172410</w:t>
            </w:r>
          </w:p>
        </w:tc>
        <w:tc>
          <w:tcPr/>
          <w:p>
            <w:pPr>
              <w:pStyle w:val="Compact"/>
            </w:pPr>
            <w:r>
              <w:t xml:space="preserve">doi.org + MDPI</w:t>
            </w:r>
          </w:p>
        </w:tc>
      </w:tr>
      <w:tr>
        <w:tc>
          <w:tcPr/>
          <w:p>
            <w:pPr>
              <w:pStyle w:val="Compact"/>
            </w:pPr>
            <w:r>
              <w:t xml:space="preserve">2023</w:t>
            </w:r>
          </w:p>
        </w:tc>
        <w:tc>
          <w:tcPr/>
          <w:p>
            <w:pPr>
              <w:pStyle w:val="Compact"/>
            </w:pPr>
            <w:r>
              <w:t xml:space="preserve">FHIR-up! Advancing knowledge from clinical data through application of standardized nursing terminologies with FHIR</w:t>
            </w:r>
          </w:p>
        </w:tc>
        <w:tc>
          <w:tcPr/>
          <w:p>
            <w:pPr>
              <w:pStyle w:val="Compact"/>
            </w:pPr>
            <w:r>
              <w:t xml:space="preserve">Journal of the American Medical Informatics Association</w:t>
            </w:r>
          </w:p>
        </w:tc>
        <w:tc>
          <w:tcPr/>
          <w:p>
            <w:pPr>
              <w:pStyle w:val="Compact"/>
            </w:pPr>
            <w:r>
              <w:t xml:space="preserve">10.1093/jamia/ocad131</w:t>
            </w:r>
          </w:p>
        </w:tc>
        <w:tc>
          <w:tcPr/>
          <w:p>
            <w:pPr>
              <w:pStyle w:val="Compact"/>
            </w:pPr>
            <w:r>
              <w:t xml:space="preserve">doi.org + Oxford Academic</w:t>
            </w:r>
          </w:p>
        </w:tc>
      </w:tr>
      <w:tr>
        <w:tc>
          <w:tcPr/>
          <w:p>
            <w:pPr>
              <w:pStyle w:val="Compact"/>
            </w:pPr>
            <w:r>
              <w:t xml:space="preserve">2022</w:t>
            </w:r>
          </w:p>
        </w:tc>
        <w:tc>
          <w:tcPr/>
          <w:p>
            <w:pPr>
              <w:pStyle w:val="Compact"/>
            </w:pPr>
            <w:r>
              <w:t xml:space="preserve">Fast Healthcare Interoperability Resources (FHIR) for Interoperability in Health Research: Systematic Review</w:t>
            </w:r>
          </w:p>
        </w:tc>
        <w:tc>
          <w:tcPr/>
          <w:p>
            <w:pPr>
              <w:pStyle w:val="Compact"/>
            </w:pPr>
            <w:r>
              <w:t xml:space="preserve">JMIR Medical Informatics</w:t>
            </w:r>
          </w:p>
        </w:tc>
        <w:tc>
          <w:tcPr/>
          <w:p>
            <w:pPr>
              <w:pStyle w:val="Compact"/>
            </w:pPr>
            <w:r>
              <w:t xml:space="preserve">10.2196/35724</w:t>
            </w:r>
          </w:p>
        </w:tc>
        <w:tc>
          <w:tcPr/>
          <w:p>
            <w:pPr>
              <w:pStyle w:val="Compact"/>
            </w:pPr>
            <w:r>
              <w:t xml:space="preserve">doi.org + JMIR</w:t>
            </w:r>
          </w:p>
        </w:tc>
      </w:tr>
    </w:tbl>
    <w:bookmarkEnd w:id="19"/>
    <w:bookmarkStart w:id="20" w:name="nota-de-validación-de-disponibilidad"/>
    <w:p>
      <w:pPr>
        <w:pStyle w:val="Heading3"/>
      </w:pPr>
      <w:r>
        <w:t xml:space="preserve">Nota de validación de disponibilidad</w:t>
      </w:r>
    </w:p>
    <w:p>
      <w:pPr>
        <w:pStyle w:val="Compact"/>
        <w:numPr>
          <w:ilvl w:val="0"/>
          <w:numId w:val="1006"/>
        </w:numPr>
      </w:pPr>
      <w:r>
        <w:t xml:space="preserve">La columna</w:t>
      </w:r>
      <w:r>
        <w:t xml:space="preserve"> </w:t>
      </w:r>
      <w:r>
        <w:rPr>
          <w:b/>
          <w:bCs/>
        </w:rPr>
        <w:t xml:space="preserve">En donde esta disponible</w:t>
      </w:r>
      <w:r>
        <w:t xml:space="preserve"> </w:t>
      </w:r>
      <w:r>
        <w:t xml:space="preserve">se completó con validación por resolución de DOI y plataforma editorial de publicación.</w:t>
      </w:r>
    </w:p>
    <w:p>
      <w:pPr>
        <w:pStyle w:val="Compact"/>
        <w:numPr>
          <w:ilvl w:val="0"/>
          <w:numId w:val="1006"/>
        </w:numPr>
      </w:pPr>
      <w:r>
        <w:t xml:space="preserve">Para leer el texto completo, la disponibilidad puede ser de acceso abierto o requerir suscripción institucional, según la política de cada revista.</w:t>
      </w:r>
    </w:p>
    <w:bookmarkEnd w:id="20"/>
    <w:bookmarkStart w:id="21" w:name="Xeefaef260da09f6e66f381c5728e34da38b6923"/>
    <w:p>
      <w:pPr>
        <w:pStyle w:val="Heading3"/>
      </w:pPr>
      <w:r>
        <w:t xml:space="preserve">3.3 Clasificación de calidad de fuente y estado de cuartil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Revistas (artículos)</w:t>
            </w:r>
          </w:p>
        </w:tc>
        <w:tc>
          <w:tcPr/>
          <w:p>
            <w:pPr>
              <w:pStyle w:val="Compact"/>
            </w:pPr>
            <w:r>
              <w:t xml:space="preserve">Estado de fuente científica</w:t>
            </w:r>
          </w:p>
        </w:tc>
        <w:tc>
          <w:tcPr/>
          <w:p>
            <w:pPr>
              <w:pStyle w:val="Compact"/>
            </w:pPr>
            <w:r>
              <w:t xml:space="preserve">Estado de cuartil</w:t>
            </w:r>
          </w:p>
        </w:tc>
      </w:tr>
      <w:tr>
        <w:tc>
          <w:tcPr/>
          <w:p>
            <w:pPr>
              <w:pStyle w:val="Compact"/>
            </w:pPr>
            <w:r>
              <w:t xml:space="preserve">Núcleo recomendado</w:t>
            </w:r>
          </w:p>
        </w:tc>
        <w:tc>
          <w:tcPr/>
          <w:p>
            <w:pPr>
              <w:pStyle w:val="Compact"/>
            </w:pPr>
            <w:r>
              <w:t xml:space="preserve">The Lancet Digital Health, Journal of Medical Internet Research, JMIR Medical Informatics, BMC Medical Informatics and Decision Making, Journal of the American Medical Informatics Association, JAMIA Open, Frontiers in Digital Health, Health Affairs Scholar, Yearbook of Medical Informatics</w:t>
            </w:r>
          </w:p>
        </w:tc>
        <w:tc>
          <w:tcPr/>
          <w:p>
            <w:pPr>
              <w:pStyle w:val="Compact"/>
            </w:pPr>
            <w:r>
              <w:t xml:space="preserve">Revistas científicas consolidadas en salud/informática médica</w:t>
            </w:r>
          </w:p>
        </w:tc>
        <w:tc>
          <w:tcPr/>
          <w:p>
            <w:pPr>
              <w:pStyle w:val="Compact"/>
            </w:pPr>
            <w:r>
              <w:t xml:space="preserve">Pendiente de verificación formal por año/categoría en Scopus/SCImago o WoS/JCR</w:t>
            </w:r>
          </w:p>
        </w:tc>
      </w:tr>
      <w:tr>
        <w:tc>
          <w:tcPr/>
          <w:p>
            <w:pPr>
              <w:pStyle w:val="Compact"/>
            </w:pPr>
            <w:r>
              <w:t xml:space="preserve">Soporte complementario</w:t>
            </w:r>
          </w:p>
        </w:tc>
        <w:tc>
          <w:tcPr/>
          <w:p>
            <w:pPr>
              <w:pStyle w:val="Compact"/>
            </w:pPr>
            <w:r>
              <w:t xml:space="preserve">International Journal of Online and Biomedical Engineering (iJOE), Perspectives in Clinical Research, Procedia Computer Science, Healthcare (MDPI), JMIR Formative Research</w:t>
            </w:r>
          </w:p>
        </w:tc>
        <w:tc>
          <w:tcPr/>
          <w:p>
            <w:pPr>
              <w:pStyle w:val="Compact"/>
            </w:pPr>
            <w:r>
              <w:t xml:space="preserve">Fuentes científicas válidas para soporte técnico/metodológico</w:t>
            </w:r>
          </w:p>
        </w:tc>
        <w:tc>
          <w:tcPr/>
          <w:p>
            <w:pPr>
              <w:pStyle w:val="Compact"/>
            </w:pPr>
            <w:r>
              <w:t xml:space="preserve">Pendiente de verificación formal por año/categoría en Scopus/SCImago o WoS/JCR</w:t>
            </w:r>
          </w:p>
        </w:tc>
      </w:tr>
      <w:tr>
        <w:tc>
          <w:tcPr/>
          <w:p>
            <w:pPr>
              <w:pStyle w:val="Compact"/>
            </w:pPr>
            <w:r>
              <w:t xml:space="preserve">Uso con cautela</w:t>
            </w:r>
          </w:p>
        </w:tc>
        <w:tc>
          <w:tcPr/>
          <w:p>
            <w:pPr>
              <w:pStyle w:val="Compact"/>
            </w:pPr>
            <w:r>
              <w:t xml:space="preserve">European Modern Studies Journal, Engineering and Technology Journal, International Journal of Multidisciplinary and Scientific Emerging Research</w:t>
            </w:r>
          </w:p>
        </w:tc>
        <w:tc>
          <w:tcPr/>
          <w:p>
            <w:pPr>
              <w:pStyle w:val="Compact"/>
            </w:pPr>
            <w:r>
              <w:t xml:space="preserve">Fuentes con menor trazabilidad internacional para indexación/impacto</w:t>
            </w:r>
          </w:p>
        </w:tc>
        <w:tc>
          <w:tcPr/>
          <w:p>
            <w:pPr>
              <w:pStyle w:val="Compact"/>
            </w:pPr>
            <w:r>
              <w:t xml:space="preserve">Considerar sin cuartil para evidencia principal, usar solo como apoyo contextual</w:t>
            </w:r>
          </w:p>
        </w:tc>
      </w:tr>
    </w:tbl>
    <w:p>
      <w:pPr>
        <w:pStyle w:val="BodyText"/>
      </w:pPr>
      <w:r>
        <w:rPr>
          <w:b/>
          <w:bCs/>
        </w:rPr>
        <w:t xml:space="preserve">Criterio de uso en la tesis:</w:t>
      </w:r>
      <w:r>
        <w:t xml:space="preserve"> </w:t>
      </w:r>
      <w:r>
        <w:t xml:space="preserve">priorizar artículos del grupo</w:t>
      </w:r>
      <w:r>
        <w:t xml:space="preserve"> </w:t>
      </w:r>
      <w:r>
        <w:rPr>
          <w:b/>
          <w:bCs/>
        </w:rPr>
        <w:t xml:space="preserve">Núcleo recomendado</w:t>
      </w:r>
      <w:r>
        <w:t xml:space="preserve"> </w:t>
      </w:r>
      <w:r>
        <w:t xml:space="preserve">para estado del arte principal; usar</w:t>
      </w:r>
      <w:r>
        <w:t xml:space="preserve"> </w:t>
      </w:r>
      <w:r>
        <w:rPr>
          <w:b/>
          <w:bCs/>
        </w:rPr>
        <w:t xml:space="preserve">Soporte complementario</w:t>
      </w:r>
      <w:r>
        <w:t xml:space="preserve"> </w:t>
      </w:r>
      <w:r>
        <w:t xml:space="preserve">para implementación técnica; y usar</w:t>
      </w:r>
      <w:r>
        <w:t xml:space="preserve"> </w:t>
      </w:r>
      <w:r>
        <w:rPr>
          <w:b/>
          <w:bCs/>
        </w:rPr>
        <w:t xml:space="preserve">Uso con cautela</w:t>
      </w:r>
      <w:r>
        <w:t xml:space="preserve"> </w:t>
      </w:r>
      <w:r>
        <w:t xml:space="preserve">solo como referencia secundaria.</w:t>
      </w:r>
    </w:p>
    <w:bookmarkEnd w:id="21"/>
    <w:bookmarkStart w:id="29" w:name="síntesis-por-categorías"/>
    <w:p>
      <w:pPr>
        <w:pStyle w:val="Heading3"/>
      </w:pPr>
      <w:r>
        <w:t xml:space="preserve">Síntesis por categorías</w:t>
      </w:r>
    </w:p>
    <w:bookmarkStart w:id="22" w:name="Xe991e6aad6ece7ea7823febd133f1eefe632270"/>
    <w:p>
      <w:pPr>
        <w:pStyle w:val="Heading4"/>
      </w:pPr>
      <w:r>
        <w:t xml:space="preserve">Fase 1 — Diagnóstico de brechas (artículos de soporte)</w:t>
      </w:r>
    </w:p>
    <w:p>
      <w:pPr>
        <w:pStyle w:val="Compact"/>
        <w:numPr>
          <w:ilvl w:val="0"/>
          <w:numId w:val="1007"/>
        </w:numPr>
      </w:pPr>
      <w:r>
        <w:t xml:space="preserve">Revisiones sistemáticas de interoperabilidad en HIS heterogéneos (Torab-Miandoab 2023, BMC)</w:t>
      </w:r>
    </w:p>
    <w:p>
      <w:pPr>
        <w:pStyle w:val="Compact"/>
        <w:numPr>
          <w:ilvl w:val="0"/>
          <w:numId w:val="1007"/>
        </w:numPr>
      </w:pPr>
      <w:r>
        <w:t xml:space="preserve">Evaluación del valor de organizaciones de intercambio de información en salud (Adler-Milstein 2025, Health Affairs)</w:t>
      </w:r>
    </w:p>
    <w:p>
      <w:pPr>
        <w:pStyle w:val="Compact"/>
        <w:numPr>
          <w:ilvl w:val="0"/>
          <w:numId w:val="1007"/>
        </w:numPr>
      </w:pPr>
      <w:r>
        <w:t xml:space="preserve">Factores críticos y panorama de políticas de HIE (Vest 2023, Yearbook of Medical Informatics)</w:t>
      </w:r>
    </w:p>
    <w:p>
      <w:pPr>
        <w:pStyle w:val="Compact"/>
        <w:numPr>
          <w:ilvl w:val="0"/>
          <w:numId w:val="1007"/>
        </w:numPr>
      </w:pPr>
      <w:r>
        <w:t xml:space="preserve">Análisis de brechas semánticas en EHR con FHIR (Amar 2024, JMIR)</w:t>
      </w:r>
    </w:p>
    <w:p>
      <w:pPr>
        <w:pStyle w:val="Compact"/>
        <w:numPr>
          <w:ilvl w:val="0"/>
          <w:numId w:val="1007"/>
        </w:numPr>
      </w:pPr>
      <w:r>
        <w:t xml:space="preserve">Evaluación de múltiples perfiles y versiones FHIR (Kiourtis 2023, JAMIA Open)</w:t>
      </w:r>
    </w:p>
    <w:bookmarkEnd w:id="22"/>
    <w:bookmarkStart w:id="23" w:name="X73d8b8a1c89eb86221943dde0f2784322d15c2e"/>
    <w:p>
      <w:pPr>
        <w:pStyle w:val="Heading4"/>
      </w:pPr>
      <w:r>
        <w:t xml:space="preserve">Fase 2 — Implementación de capa FHIR (artículos de soporte)</w:t>
      </w:r>
    </w:p>
    <w:p>
      <w:pPr>
        <w:pStyle w:val="Compact"/>
        <w:numPr>
          <w:ilvl w:val="0"/>
          <w:numId w:val="1008"/>
        </w:numPr>
      </w:pPr>
      <w:r>
        <w:t xml:space="preserve">Implementación de servidor HAPI-FHIR en atención primaria en Indonesia (Wibowo 2024, EMSJ)</w:t>
      </w:r>
    </w:p>
    <w:p>
      <w:pPr>
        <w:pStyle w:val="Compact"/>
        <w:numPr>
          <w:ilvl w:val="0"/>
          <w:numId w:val="1008"/>
        </w:numPr>
      </w:pPr>
      <w:r>
        <w:t xml:space="preserve">Framework federado de intercambio multi-hospital con FHIR (2025, ETJ)</w:t>
      </w:r>
    </w:p>
    <w:p>
      <w:pPr>
        <w:pStyle w:val="Compact"/>
        <w:numPr>
          <w:ilvl w:val="0"/>
          <w:numId w:val="1008"/>
        </w:numPr>
      </w:pPr>
      <w:r>
        <w:t xml:space="preserve">Diseño de interoperabilidad FHIR en Indonesia: análisis de contenido (2025, JMIR Formative Research)</w:t>
      </w:r>
    </w:p>
    <w:p>
      <w:pPr>
        <w:pStyle w:val="Compact"/>
        <w:numPr>
          <w:ilvl w:val="0"/>
          <w:numId w:val="1008"/>
        </w:numPr>
      </w:pPr>
      <w:r>
        <w:t xml:space="preserve">Construcción de sistema EMR en formato FHIR (Kuang 2023, Healthcare)</w:t>
      </w:r>
    </w:p>
    <w:p>
      <w:pPr>
        <w:pStyle w:val="Compact"/>
        <w:numPr>
          <w:ilvl w:val="0"/>
          <w:numId w:val="1008"/>
        </w:numPr>
      </w:pPr>
      <w:r>
        <w:t xml:space="preserve">Mapeo CDA a FHIR con componentes visuales reutilizables (Grau 2024, Frontiers in Digital Health)</w:t>
      </w:r>
    </w:p>
    <w:p>
      <w:pPr>
        <w:pStyle w:val="Compact"/>
        <w:numPr>
          <w:ilvl w:val="0"/>
          <w:numId w:val="1008"/>
        </w:numPr>
      </w:pPr>
      <w:r>
        <w:t xml:space="preserve">Blueprint práctico end-to-end de interoperabilidad con HL7/FHIR/CCD (2026, IJMSERH)</w:t>
      </w:r>
    </w:p>
    <w:p>
      <w:pPr>
        <w:pStyle w:val="Compact"/>
        <w:numPr>
          <w:ilvl w:val="0"/>
          <w:numId w:val="1008"/>
        </w:numPr>
      </w:pPr>
      <w:r>
        <w:t xml:space="preserve">Estandarización de terminologías clínicas con FHIR (Fennelly 2023, JAMIA)</w:t>
      </w:r>
    </w:p>
    <w:p>
      <w:pPr>
        <w:pStyle w:val="Compact"/>
        <w:numPr>
          <w:ilvl w:val="0"/>
          <w:numId w:val="1008"/>
        </w:numPr>
      </w:pPr>
      <w:r>
        <w:t xml:space="preserve">FHIR como modelo de datos: scoping review de implementaciones (Tabari 2024, JMIR Medical Informatics)</w:t>
      </w:r>
    </w:p>
    <w:bookmarkEnd w:id="23"/>
    <w:bookmarkStart w:id="24" w:name="X2ba4f11956759c1a2f8b6266dce83dce9d21d65"/>
    <w:p>
      <w:pPr>
        <w:pStyle w:val="Heading4"/>
      </w:pPr>
      <w:r>
        <w:t xml:space="preserve">Fase 3 — Evaluación y contexto (artículos de soporte)</w:t>
      </w:r>
    </w:p>
    <w:p>
      <w:pPr>
        <w:pStyle w:val="Compact"/>
        <w:numPr>
          <w:ilvl w:val="0"/>
          <w:numId w:val="1009"/>
        </w:numPr>
      </w:pPr>
      <w:r>
        <w:t xml:space="preserve">FHIR para interoperabilidad en investigación en salud: revisión sistemática (Lehne 2022, JMIR Medical Informatics)</w:t>
      </w:r>
    </w:p>
    <w:p>
      <w:pPr>
        <w:pStyle w:val="Compact"/>
        <w:numPr>
          <w:ilvl w:val="0"/>
          <w:numId w:val="1009"/>
        </w:numPr>
      </w:pPr>
      <w:r>
        <w:t xml:space="preserve">EHR federados para el European Health Data Space (Lancet Digital Health 2023)</w:t>
      </w:r>
    </w:p>
    <w:p>
      <w:pPr>
        <w:pStyle w:val="Compact"/>
        <w:numPr>
          <w:ilvl w:val="0"/>
          <w:numId w:val="1009"/>
        </w:numPr>
      </w:pPr>
      <w:r>
        <w:t xml:space="preserve">Interoperabilidad de EHR en Perú con blockchain (Mauricio 2024, iJOE)</w:t>
      </w:r>
    </w:p>
    <w:p>
      <w:pPr>
        <w:pStyle w:val="Compact"/>
        <w:numPr>
          <w:ilvl w:val="0"/>
          <w:numId w:val="1009"/>
        </w:numPr>
      </w:pPr>
      <w:r>
        <w:t xml:space="preserve">EHR + FHIR + blockchain: análisis bibliométrico y perspectiva futura (Mane 2023, Perspectives in Clinical Research)</w:t>
      </w:r>
    </w:p>
    <w:p>
      <w:pPr>
        <w:pStyle w:val="Compact"/>
        <w:numPr>
          <w:ilvl w:val="0"/>
          <w:numId w:val="1009"/>
        </w:numPr>
      </w:pPr>
      <w:r>
        <w:t xml:space="preserve">Revisión de datos clínicos mediante FHIR (Procedia 2023)</w:t>
      </w:r>
    </w:p>
    <w:bookmarkEnd w:id="24"/>
    <w:bookmarkStart w:id="25" w:name="modelos-identificados"/>
    <w:p>
      <w:pPr>
        <w:pStyle w:val="Heading4"/>
      </w:pPr>
      <w:r>
        <w:t xml:space="preserve">Modelos identificados</w:t>
      </w:r>
    </w:p>
    <w:p>
      <w:pPr>
        <w:pStyle w:val="Compact"/>
        <w:numPr>
          <w:ilvl w:val="0"/>
          <w:numId w:val="1010"/>
        </w:numPr>
      </w:pPr>
      <w:r>
        <w:t xml:space="preserve">Modelos de arquitectura federada para intercambio clínico</w:t>
      </w:r>
    </w:p>
    <w:p>
      <w:pPr>
        <w:pStyle w:val="Compact"/>
        <w:numPr>
          <w:ilvl w:val="0"/>
          <w:numId w:val="1010"/>
        </w:numPr>
      </w:pPr>
      <w:r>
        <w:t xml:space="preserve">Modelos de mapeo semántico CDA → FHIR</w:t>
      </w:r>
    </w:p>
    <w:p>
      <w:pPr>
        <w:pStyle w:val="Compact"/>
        <w:numPr>
          <w:ilvl w:val="0"/>
          <w:numId w:val="1010"/>
        </w:numPr>
      </w:pPr>
      <w:r>
        <w:t xml:space="preserve">Modelos de interoperabilidad con blockchain + FHIR</w:t>
      </w:r>
    </w:p>
    <w:p>
      <w:pPr>
        <w:pStyle w:val="Compact"/>
        <w:numPr>
          <w:ilvl w:val="0"/>
          <w:numId w:val="1010"/>
        </w:numPr>
      </w:pPr>
      <w:r>
        <w:t xml:space="preserve">Modelos de implementación de servidor HAPI-FHIR en atención primaria</w:t>
      </w:r>
    </w:p>
    <w:p>
      <w:pPr>
        <w:pStyle w:val="Compact"/>
        <w:numPr>
          <w:ilvl w:val="0"/>
          <w:numId w:val="1010"/>
        </w:numPr>
      </w:pPr>
      <w:r>
        <w:t xml:space="preserve">Modelos organizacionales de HIE/HIO para interoperabilidad hospitalaria</w:t>
      </w:r>
    </w:p>
    <w:p>
      <w:pPr>
        <w:pStyle w:val="Compact"/>
        <w:numPr>
          <w:ilvl w:val="0"/>
          <w:numId w:val="1010"/>
        </w:numPr>
      </w:pPr>
      <w:r>
        <w:t xml:space="preserve">Blueprints de implementación end-to-end (HL7/FHIR/CCD)</w:t>
      </w:r>
    </w:p>
    <w:p>
      <w:pPr>
        <w:pStyle w:val="Compact"/>
        <w:numPr>
          <w:ilvl w:val="0"/>
          <w:numId w:val="1010"/>
        </w:numPr>
      </w:pPr>
      <w:r>
        <w:t xml:space="preserve">Frameworks federados multi-hospital</w:t>
      </w:r>
    </w:p>
    <w:bookmarkEnd w:id="25"/>
    <w:bookmarkStart w:id="26" w:name="metodologías-predominantes"/>
    <w:p>
      <w:pPr>
        <w:pStyle w:val="Heading4"/>
      </w:pPr>
      <w:r>
        <w:t xml:space="preserve">Metodologías predominantes</w:t>
      </w:r>
    </w:p>
    <w:p>
      <w:pPr>
        <w:pStyle w:val="Compact"/>
        <w:numPr>
          <w:ilvl w:val="0"/>
          <w:numId w:val="1011"/>
        </w:numPr>
      </w:pPr>
      <w:r>
        <w:t xml:space="preserve">Revisiones sistemáticas y scoping reviews</w:t>
      </w:r>
    </w:p>
    <w:p>
      <w:pPr>
        <w:pStyle w:val="Compact"/>
        <w:numPr>
          <w:ilvl w:val="0"/>
          <w:numId w:val="1011"/>
        </w:numPr>
      </w:pPr>
      <w:r>
        <w:t xml:space="preserve">Systematic mapping reviews</w:t>
      </w:r>
    </w:p>
    <w:p>
      <w:pPr>
        <w:pStyle w:val="Compact"/>
        <w:numPr>
          <w:ilvl w:val="0"/>
          <w:numId w:val="1011"/>
        </w:numPr>
      </w:pPr>
      <w:r>
        <w:t xml:space="preserve">Análisis bibliométrico</w:t>
      </w:r>
    </w:p>
    <w:p>
      <w:pPr>
        <w:pStyle w:val="Compact"/>
        <w:numPr>
          <w:ilvl w:val="0"/>
          <w:numId w:val="1011"/>
        </w:numPr>
      </w:pPr>
      <w:r>
        <w:t xml:space="preserve">Análisis de contenido</w:t>
      </w:r>
    </w:p>
    <w:p>
      <w:pPr>
        <w:pStyle w:val="Compact"/>
        <w:numPr>
          <w:ilvl w:val="0"/>
          <w:numId w:val="1011"/>
        </w:numPr>
      </w:pPr>
      <w:r>
        <w:t xml:space="preserve">Estudios de implementación/prototipo (caso Indonesia, Perú, Europa)</w:t>
      </w:r>
    </w:p>
    <w:p>
      <w:pPr>
        <w:pStyle w:val="Compact"/>
        <w:numPr>
          <w:ilvl w:val="0"/>
          <w:numId w:val="1011"/>
        </w:numPr>
      </w:pPr>
      <w:r>
        <w:t xml:space="preserve">Estudios de diseño e implementación (design and implementation studies)</w:t>
      </w:r>
    </w:p>
    <w:bookmarkEnd w:id="26"/>
    <w:bookmarkStart w:id="27" w:name="métodos-recurrentes"/>
    <w:p>
      <w:pPr>
        <w:pStyle w:val="Heading4"/>
      </w:pPr>
      <w:r>
        <w:t xml:space="preserve">Métodos recurrentes</w:t>
      </w:r>
    </w:p>
    <w:p>
      <w:pPr>
        <w:pStyle w:val="Compact"/>
        <w:numPr>
          <w:ilvl w:val="0"/>
          <w:numId w:val="1012"/>
        </w:numPr>
      </w:pPr>
      <w:r>
        <w:t xml:space="preserve">Mapeo terminológico y semántico</w:t>
      </w:r>
    </w:p>
    <w:p>
      <w:pPr>
        <w:pStyle w:val="Compact"/>
        <w:numPr>
          <w:ilvl w:val="0"/>
          <w:numId w:val="1012"/>
        </w:numPr>
      </w:pPr>
      <w:r>
        <w:t xml:space="preserve">Transformación de estructuras clínicas a FHIR</w:t>
      </w:r>
    </w:p>
    <w:p>
      <w:pPr>
        <w:pStyle w:val="Compact"/>
        <w:numPr>
          <w:ilvl w:val="0"/>
          <w:numId w:val="1012"/>
        </w:numPr>
      </w:pPr>
      <w:r>
        <w:t xml:space="preserve">Diseño y despliegue de servidores FHIR (HAPI-FHIR)</w:t>
      </w:r>
    </w:p>
    <w:p>
      <w:pPr>
        <w:pStyle w:val="Compact"/>
        <w:numPr>
          <w:ilvl w:val="0"/>
          <w:numId w:val="1012"/>
        </w:numPr>
      </w:pPr>
      <w:r>
        <w:t xml:space="preserve">Diseño de perfiles y recursos FHIR</w:t>
      </w:r>
    </w:p>
    <w:p>
      <w:pPr>
        <w:pStyle w:val="Compact"/>
        <w:numPr>
          <w:ilvl w:val="0"/>
          <w:numId w:val="1012"/>
        </w:numPr>
      </w:pPr>
      <w:r>
        <w:t xml:space="preserve">Evaluación de intercambio entre perfiles/servidores</w:t>
      </w:r>
    </w:p>
    <w:p>
      <w:pPr>
        <w:pStyle w:val="Compact"/>
        <w:numPr>
          <w:ilvl w:val="0"/>
          <w:numId w:val="1012"/>
        </w:numPr>
      </w:pPr>
      <w:r>
        <w:t xml:space="preserve">Medición de adopción institucional de intercambio</w:t>
      </w:r>
    </w:p>
    <w:p>
      <w:pPr>
        <w:pStyle w:val="Compact"/>
        <w:numPr>
          <w:ilvl w:val="0"/>
          <w:numId w:val="1012"/>
        </w:numPr>
      </w:pPr>
      <w:r>
        <w:t xml:space="preserve">Comparación pre/post de indicadores de calidad de datos</w:t>
      </w:r>
    </w:p>
    <w:bookmarkEnd w:id="27"/>
    <w:bookmarkStart w:id="28" w:name="técnicas"/>
    <w:p>
      <w:pPr>
        <w:pStyle w:val="Heading4"/>
      </w:pPr>
      <w:r>
        <w:t xml:space="preserve">Técnicas</w:t>
      </w:r>
    </w:p>
    <w:p>
      <w:pPr>
        <w:pStyle w:val="Compact"/>
        <w:numPr>
          <w:ilvl w:val="0"/>
          <w:numId w:val="1013"/>
        </w:numPr>
      </w:pPr>
      <w:r>
        <w:t xml:space="preserve">HL7 FHIR profiles/resources</w:t>
      </w:r>
    </w:p>
    <w:p>
      <w:pPr>
        <w:pStyle w:val="Compact"/>
        <w:numPr>
          <w:ilvl w:val="0"/>
          <w:numId w:val="1013"/>
        </w:numPr>
      </w:pPr>
      <w:r>
        <w:t xml:space="preserve">CDA to FHIR mapping</w:t>
      </w:r>
    </w:p>
    <w:p>
      <w:pPr>
        <w:pStyle w:val="Compact"/>
        <w:numPr>
          <w:ilvl w:val="0"/>
          <w:numId w:val="1013"/>
        </w:numPr>
      </w:pPr>
      <w:r>
        <w:t xml:space="preserve">HAPI-FHIR server deployment</w:t>
      </w:r>
    </w:p>
    <w:p>
      <w:pPr>
        <w:pStyle w:val="Compact"/>
        <w:numPr>
          <w:ilvl w:val="0"/>
          <w:numId w:val="1013"/>
        </w:numPr>
      </w:pPr>
      <w:r>
        <w:t xml:space="preserve">Terminología clínica estandarizada (CIE-10, SNOMED CT, LOINC)</w:t>
      </w:r>
    </w:p>
    <w:p>
      <w:pPr>
        <w:pStyle w:val="Compact"/>
        <w:numPr>
          <w:ilvl w:val="0"/>
          <w:numId w:val="1013"/>
        </w:numPr>
      </w:pPr>
      <w:r>
        <w:t xml:space="preserve">APIs REST de interoperabilidad</w:t>
      </w:r>
    </w:p>
    <w:p>
      <w:pPr>
        <w:pStyle w:val="Compact"/>
        <w:numPr>
          <w:ilvl w:val="0"/>
          <w:numId w:val="1013"/>
        </w:numPr>
      </w:pPr>
      <w:r>
        <w:t xml:space="preserve">Trazabilidad y control de acceso</w:t>
      </w:r>
    </w:p>
    <w:p>
      <w:pPr>
        <w:pStyle w:val="Compact"/>
        <w:numPr>
          <w:ilvl w:val="0"/>
          <w:numId w:val="1013"/>
        </w:numPr>
      </w:pPr>
      <w:r>
        <w:t xml:space="preserve">Blockchain para integridad y auditoría</w:t>
      </w:r>
    </w:p>
    <w:bookmarkEnd w:id="28"/>
    <w:bookmarkEnd w:id="29"/>
    <w:bookmarkEnd w:id="30"/>
    <w:bookmarkStart w:id="32" w:name="Xb1e84a43c6ad931875a14756788539bd871ee8d"/>
    <w:p>
      <w:pPr>
        <w:pStyle w:val="Heading2"/>
      </w:pPr>
      <w:r>
        <w:t xml:space="preserve">Paso 4. Título refinado (formato solicitado)</w:t>
      </w:r>
    </w:p>
    <w:p>
      <w:pPr>
        <w:pStyle w:val="FirstParagraph"/>
      </w:pPr>
      <w:r>
        <w:t xml:space="preserve">Formato: Aporte/Propuesta + Técnica + Problema + Escenario</w:t>
      </w:r>
    </w:p>
    <w:p>
      <w:pPr>
        <w:pStyle w:val="BodyText"/>
      </w:pPr>
      <w:r>
        <w:t xml:space="preserve">Título propuesto:</w:t>
      </w:r>
    </w:p>
    <w:p>
      <w:pPr>
        <w:pStyle w:val="BodyText"/>
      </w:pPr>
      <w:r>
        <w:rPr>
          <w:b/>
          <w:bCs/>
        </w:rPr>
        <w:t xml:space="preserve">Modelo de interoperabilidad basado en HL7 FHIR para la mejora de la gestión de historias clínicas en centros de salud del MINSA - Perú.</w:t>
      </w:r>
    </w:p>
    <w:p>
      <w:pPr>
        <w:pStyle w:val="BodyText"/>
      </w:pPr>
      <w:r>
        <w:t xml:space="preserve">Desglose del formato:</w:t>
      </w:r>
    </w:p>
    <w:p>
      <w:pPr>
        <w:pStyle w:val="Compact"/>
        <w:numPr>
          <w:ilvl w:val="0"/>
          <w:numId w:val="1014"/>
        </w:numPr>
      </w:pPr>
      <w:r>
        <w:rPr>
          <w:b/>
          <w:bCs/>
        </w:rPr>
        <w:t xml:space="preserve">Aporte/Propuesta:</w:t>
      </w:r>
      <w:r>
        <w:t xml:space="preserve"> </w:t>
      </w:r>
      <w:r>
        <w:t xml:space="preserve">Modelo de interoperabilidad.</w:t>
      </w:r>
    </w:p>
    <w:p>
      <w:pPr>
        <w:pStyle w:val="Compact"/>
        <w:numPr>
          <w:ilvl w:val="0"/>
          <w:numId w:val="1014"/>
        </w:numPr>
      </w:pPr>
      <w:r>
        <w:rPr>
          <w:b/>
          <w:bCs/>
        </w:rPr>
        <w:t xml:space="preserve">Técnica:</w:t>
      </w:r>
      <w:r>
        <w:t xml:space="preserve"> </w:t>
      </w:r>
      <w:r>
        <w:t xml:space="preserve">HL7 FHIR + estándares normativos (RNIEDS/PIDESALUD/CIE-10/CPMS).</w:t>
      </w:r>
    </w:p>
    <w:p>
      <w:pPr>
        <w:pStyle w:val="Compact"/>
        <w:numPr>
          <w:ilvl w:val="0"/>
          <w:numId w:val="1014"/>
        </w:numPr>
      </w:pPr>
      <w:r>
        <w:rPr>
          <w:b/>
          <w:bCs/>
        </w:rPr>
        <w:t xml:space="preserve">Problema:</w:t>
      </w:r>
      <w:r>
        <w:t xml:space="preserve"> </w:t>
      </w:r>
      <w:r>
        <w:t xml:space="preserve">Deficiencias en la gestión de historias clínicas de pacientes SIS.</w:t>
      </w:r>
    </w:p>
    <w:p>
      <w:pPr>
        <w:pStyle w:val="Compact"/>
        <w:numPr>
          <w:ilvl w:val="0"/>
          <w:numId w:val="1014"/>
        </w:numPr>
      </w:pPr>
      <w:r>
        <w:rPr>
          <w:b/>
          <w:bCs/>
        </w:rPr>
        <w:t xml:space="preserve">Escenario:</w:t>
      </w:r>
      <w:r>
        <w:t xml:space="preserve"> </w:t>
      </w:r>
      <w:r>
        <w:t xml:space="preserve">Centros de salud MINSA en Lima (con posibilidad de escalar a otras regiones).</w:t>
      </w:r>
    </w:p>
    <w:bookmarkStart w:id="31" w:name="justificación-del-modelo-híbrido"/>
    <w:p>
      <w:pPr>
        <w:pStyle w:val="Heading3"/>
      </w:pPr>
      <w:r>
        <w:t xml:space="preserve">Justificación del modelo híbrido</w:t>
      </w:r>
    </w:p>
    <w:p>
      <w:pPr>
        <w:pStyle w:val="FirstParagraph"/>
      </w:pPr>
      <w:r>
        <w:t xml:space="preserve">Un enfoque puramente diagnóstico describiría las brechas de interoperabilidad pero no las cerraría. Un enfoque puramente implementador carecería de línea base para medir impacto. El modelo híbrido integra tres fases complementarias que resuelven ambas limitaciones:</w:t>
      </w:r>
    </w:p>
    <w:p>
      <w:pPr>
        <w:pStyle w:val="Compact"/>
        <w:numPr>
          <w:ilvl w:val="0"/>
          <w:numId w:val="1015"/>
        </w:numPr>
      </w:pPr>
      <w:r>
        <w:rPr>
          <w:b/>
          <w:bCs/>
        </w:rPr>
        <w:t xml:space="preserve">Diagnóstico:</w:t>
      </w:r>
      <w:r>
        <w:t xml:space="preserve"> </w:t>
      </w:r>
      <w:r>
        <w:t xml:space="preserve">medir el nivel real de cumplimiento normativo-técnico y levantar una línea base de calidad de historia clínica electrónica (HCE).</w:t>
      </w:r>
    </w:p>
    <w:p>
      <w:pPr>
        <w:pStyle w:val="Compact"/>
        <w:numPr>
          <w:ilvl w:val="0"/>
          <w:numId w:val="1015"/>
        </w:numPr>
      </w:pPr>
      <w:r>
        <w:rPr>
          <w:b/>
          <w:bCs/>
        </w:rPr>
        <w:t xml:space="preserve">Implementación:</w:t>
      </w:r>
      <w:r>
        <w:t xml:space="preserve"> </w:t>
      </w:r>
      <w:r>
        <w:t xml:space="preserve">diseñar y desplegar una capa piloto de integración basada en HL7 FHIR que atienda las brechas críticas encontradas.</w:t>
      </w:r>
    </w:p>
    <w:p>
      <w:pPr>
        <w:pStyle w:val="Compact"/>
        <w:numPr>
          <w:ilvl w:val="0"/>
          <w:numId w:val="1015"/>
        </w:numPr>
      </w:pPr>
      <w:r>
        <w:rPr>
          <w:b/>
          <w:bCs/>
        </w:rPr>
        <w:t xml:space="preserve">Evaluación:</w:t>
      </w:r>
      <w:r>
        <w:t xml:space="preserve"> </w:t>
      </w:r>
      <w:r>
        <w:t xml:space="preserve">comparar indicadores pre/post implementación para cuantificar el impacto real del modelo en la gestión de HCE.</w:t>
      </w:r>
    </w:p>
    <w:p>
      <w:pPr>
        <w:pStyle w:val="FirstParagraph"/>
      </w:pPr>
      <w:r>
        <w:t xml:space="preserve">De esta forma, la tesis propone una solución concreta, la ejecuta en un entorno real y mide su efecto.</w:t>
      </w:r>
    </w:p>
    <w:bookmarkEnd w:id="31"/>
    <w:bookmarkEnd w:id="32"/>
    <w:bookmarkStart w:id="33" w:name="paso-5.-problema-general"/>
    <w:p>
      <w:pPr>
        <w:pStyle w:val="Heading2"/>
      </w:pPr>
      <w:r>
        <w:t xml:space="preserve">Paso 5. Problema general</w:t>
      </w:r>
    </w:p>
    <w:p>
      <w:pPr>
        <w:pStyle w:val="FirstParagraph"/>
      </w:pPr>
      <w:r>
        <w:t xml:space="preserve">¿De qué manera un modelo que integre el diagnóstico de brechas de interoperabilidad y la implementación piloto de una capa de integración basada en HL7 FHIR permitirá mejorar la gestión de historias clínicas de pacientes SIS en centros de salud del MINSA en Perú?</w:t>
      </w:r>
    </w:p>
    <w:bookmarkEnd w:id="33"/>
    <w:bookmarkStart w:id="34" w:name="paso-6.-problemas-específicos"/>
    <w:p>
      <w:pPr>
        <w:pStyle w:val="Heading2"/>
      </w:pPr>
      <w:r>
        <w:t xml:space="preserve">Paso 6. Problemas específicos</w:t>
      </w:r>
    </w:p>
    <w:p>
      <w:pPr>
        <w:pStyle w:val="Compact"/>
        <w:numPr>
          <w:ilvl w:val="0"/>
          <w:numId w:val="1016"/>
        </w:numPr>
      </w:pPr>
      <w:r>
        <w:rPr>
          <w:b/>
          <w:bCs/>
        </w:rPr>
        <w:t xml:space="preserve">PE1 — Fase diagnóstica:</w:t>
      </w:r>
      <w:r>
        <w:t xml:space="preserve"> </w:t>
      </w:r>
      <w:r>
        <w:t xml:space="preserve">¿Cuál es el nivel actual de cumplimiento de los estándares de interoperabilidad (RNIEDS, PIDESALUD, HL7, CIE-10, CPMS) en centros de salud MINSA del ámbito SIS en Lima y qué brechas críticas existen en la gestión de historias clínicas?</w:t>
      </w:r>
    </w:p>
    <w:p>
      <w:pPr>
        <w:pStyle w:val="Compact"/>
        <w:numPr>
          <w:ilvl w:val="0"/>
          <w:numId w:val="1016"/>
        </w:numPr>
      </w:pPr>
      <w:r>
        <w:rPr>
          <w:b/>
          <w:bCs/>
        </w:rPr>
        <w:t xml:space="preserve">PE2 — Fase de implementación:</w:t>
      </w:r>
      <w:r>
        <w:t xml:space="preserve"> </w:t>
      </w:r>
      <w:r>
        <w:t xml:space="preserve">¿Cómo diseñar e implementar una capa de integración basada en HL7 FHIR que atienda las brechas de interoperabilidad identificadas en el diagnóstico?</w:t>
      </w:r>
    </w:p>
    <w:p>
      <w:pPr>
        <w:pStyle w:val="Compact"/>
        <w:numPr>
          <w:ilvl w:val="0"/>
          <w:numId w:val="1016"/>
        </w:numPr>
      </w:pPr>
      <w:r>
        <w:rPr>
          <w:b/>
          <w:bCs/>
        </w:rPr>
        <w:t xml:space="preserve">PE3 — Fase de evaluación:</w:t>
      </w:r>
      <w:r>
        <w:t xml:space="preserve"> </w:t>
      </w:r>
      <w:r>
        <w:t xml:space="preserve">¿En qué medida la implementación piloto de la capa de integración FHIR mejora la integridad, continuidad y calidad de las historias clínicas de pacientes SIS respecto a la línea base diagnóstica?</w:t>
      </w:r>
    </w:p>
    <w:bookmarkEnd w:id="34"/>
    <w:bookmarkStart w:id="41" w:name="X699e2b8c264fa356745cd66eff41d5066a89d70"/>
    <w:p>
      <w:pPr>
        <w:pStyle w:val="Heading2"/>
      </w:pPr>
      <w:r>
        <w:t xml:space="preserve">Paso 6.1 Objetivo general y objetivos específicos</w:t>
      </w:r>
    </w:p>
    <w:bookmarkStart w:id="35" w:name="objetivo-general"/>
    <w:p>
      <w:pPr>
        <w:pStyle w:val="Heading3"/>
      </w:pPr>
      <w:r>
        <w:t xml:space="preserve">Objetivo general</w:t>
      </w:r>
    </w:p>
    <w:p>
      <w:pPr>
        <w:pStyle w:val="FirstParagraph"/>
      </w:pPr>
      <w:r>
        <w:t xml:space="preserve">Desarrollar e implementar un modelo de interoperabilidad basado en HL7 FHIR que permita mejorar la gestión de historias clínicas de pacientes SIS en centros de salud del MINSA en Perú, mediante un proceso estructurado de diagnóstico, intervención y evaluación de resultados.</w:t>
      </w:r>
    </w:p>
    <w:bookmarkEnd w:id="35"/>
    <w:bookmarkStart w:id="36" w:name="objetivos-específicos"/>
    <w:p>
      <w:pPr>
        <w:pStyle w:val="Heading3"/>
      </w:pPr>
      <w:r>
        <w:t xml:space="preserve">Objetivos específicos</w:t>
      </w:r>
    </w:p>
    <w:p>
      <w:pPr>
        <w:pStyle w:val="Compact"/>
        <w:numPr>
          <w:ilvl w:val="0"/>
          <w:numId w:val="1017"/>
        </w:numPr>
      </w:pPr>
      <w:r>
        <w:t xml:space="preserve">Identificar y analizar el nivel de cumplimiento de estándares de interoperabilidad (RNIEDS, PIDESALUD, HL7, CIE-10 y CPMS) y las brechas críticas de gestión de historias clínicas en centros de salud MINSA del ámbito SIS.</w:t>
      </w:r>
    </w:p>
    <w:p>
      <w:pPr>
        <w:pStyle w:val="Compact"/>
        <w:numPr>
          <w:ilvl w:val="0"/>
          <w:numId w:val="1017"/>
        </w:numPr>
      </w:pPr>
      <w:r>
        <w:t xml:space="preserve">Diseñar e implementar una capa piloto de integración basada en HL7 FHIR que responda a las brechas de interoperabilidad identificadas en la fase diagnóstica.</w:t>
      </w:r>
    </w:p>
    <w:p>
      <w:pPr>
        <w:pStyle w:val="Compact"/>
        <w:numPr>
          <w:ilvl w:val="0"/>
          <w:numId w:val="1017"/>
        </w:numPr>
      </w:pPr>
      <w:r>
        <w:t xml:space="preserve">Evaluar el desempeño e impacto del modelo implementado mediante comparación pre y post intervención, utilizando indicadores de integridad, continuidad y calidad de las historias clínicas.</w:t>
      </w:r>
    </w:p>
    <w:p>
      <w:pPr>
        <w:pStyle w:val="Compact"/>
        <w:numPr>
          <w:ilvl w:val="0"/>
          <w:numId w:val="1017"/>
        </w:numPr>
      </w:pPr>
      <w:r>
        <w:t xml:space="preserve">Proponer lineamientos técnicos y operativos para la escalabilidad del modelo de interoperabilidad en otros establecimientos de salud del MINSA.</w:t>
      </w:r>
    </w:p>
    <w:bookmarkEnd w:id="36"/>
    <w:bookmarkStart w:id="40" w:name="diagrama-del-modelo-híbrido"/>
    <w:p>
      <w:pPr>
        <w:pStyle w:val="Heading3"/>
      </w:pPr>
      <w:r>
        <w:t xml:space="preserve">Diagrama del modelo híbrido</w:t>
      </w:r>
    </w:p>
    <w:p>
      <w:pPr>
        <w:pStyle w:val="CaptionedFigure"/>
      </w:pPr>
      <w:r>
        <w:drawing>
          <wp:inline>
            <wp:extent cx="5334000" cy="2884849"/>
            <wp:effectExtent b="0" l="0" r="0" t="0"/>
            <wp:docPr descr="Diagrama del modelo híbrido: diagnóstico + implementación + evaluación (interoperabilidad HCE SIS-MINSA)" title="" id="38" name="Picture"/>
            <a:graphic>
              <a:graphicData uri="http://schemas.openxmlformats.org/drawingml/2006/picture">
                <pic:pic>
                  <pic:nvPicPr>
                    <pic:cNvPr descr="diagrama-modelo-hibrido.png" id="39" name="Picture"/>
                    <pic:cNvPicPr>
                      <a:picLocks noChangeArrowheads="1" noChangeAspect="1"/>
                    </pic:cNvPicPr>
                  </pic:nvPicPr>
                  <pic:blipFill>
                    <a:blip r:embed="rId37"/>
                    <a:stretch>
                      <a:fillRect/>
                    </a:stretch>
                  </pic:blipFill>
                  <pic:spPr bwMode="auto">
                    <a:xfrm>
                      <a:off x="0" y="0"/>
                      <a:ext cx="5334000" cy="2884849"/>
                    </a:xfrm>
                    <a:prstGeom prst="rect">
                      <a:avLst/>
                    </a:prstGeom>
                    <a:noFill/>
                    <a:ln w="9525">
                      <a:noFill/>
                      <a:headEnd/>
                      <a:tailEnd/>
                    </a:ln>
                  </pic:spPr>
                </pic:pic>
              </a:graphicData>
            </a:graphic>
          </wp:inline>
        </w:drawing>
      </w:r>
    </w:p>
    <w:p>
      <w:pPr>
        <w:pStyle w:val="ImageCaption"/>
      </w:pPr>
      <w:r>
        <w:t xml:space="preserve">Diagrama del modelo híbrido: diagnóstico + implementación + evaluación (interoperabilidad HCE SIS-MINSA)</w:t>
      </w:r>
    </w:p>
    <w:bookmarkEnd w:id="40"/>
    <w:bookmarkEnd w:id="41"/>
    <w:bookmarkStart w:id="50" w:name="paso-7.-variables-del-modelo-híbrido"/>
    <w:p>
      <w:pPr>
        <w:pStyle w:val="Heading2"/>
      </w:pPr>
      <w:r>
        <w:t xml:space="preserve">Paso 7. Variables del modelo híbrido</w:t>
      </w:r>
    </w:p>
    <w:bookmarkStart w:id="42" w:name="variable-independiente"/>
    <w:p>
      <w:pPr>
        <w:pStyle w:val="Heading3"/>
      </w:pPr>
      <w:r>
        <w:t xml:space="preserve">Variable independiente</w:t>
      </w:r>
    </w:p>
    <w:p>
      <w:pPr>
        <w:pStyle w:val="FirstParagraph"/>
      </w:pPr>
      <w:r>
        <w:t xml:space="preserve">Modelo híbrido de interoperabilidad (diagnóstico + implementación FHIR).</w:t>
      </w:r>
    </w:p>
    <w:bookmarkEnd w:id="42"/>
    <w:bookmarkStart w:id="46" w:name="dimensiones-de-la-variable-independiente"/>
    <w:p>
      <w:pPr>
        <w:pStyle w:val="Heading3"/>
      </w:pPr>
      <w:r>
        <w:t xml:space="preserve">Dimensiones de la variable independiente</w:t>
      </w:r>
    </w:p>
    <w:bookmarkStart w:id="43" w:name="fase-1-diagnóstico"/>
    <w:p>
      <w:pPr>
        <w:pStyle w:val="Heading4"/>
      </w:pPr>
      <w:r>
        <w:t xml:space="preserve">Fase 1 — Diagnóstico</w:t>
      </w:r>
    </w:p>
    <w:p>
      <w:pPr>
        <w:pStyle w:val="Compact"/>
        <w:numPr>
          <w:ilvl w:val="0"/>
          <w:numId w:val="1018"/>
        </w:numPr>
      </w:pPr>
      <w:r>
        <w:t xml:space="preserve">Nivel de cumplimiento de arquitectura RNIEDS-PIDESALUD.</w:t>
      </w:r>
    </w:p>
    <w:p>
      <w:pPr>
        <w:pStyle w:val="Compact"/>
        <w:numPr>
          <w:ilvl w:val="0"/>
          <w:numId w:val="1018"/>
        </w:numPr>
      </w:pPr>
      <w:r>
        <w:t xml:space="preserve">Grado de adopción de estándares de intercambio (HL7/FHIR, DICOM).</w:t>
      </w:r>
    </w:p>
    <w:p>
      <w:pPr>
        <w:pStyle w:val="Compact"/>
        <w:numPr>
          <w:ilvl w:val="0"/>
          <w:numId w:val="1018"/>
        </w:numPr>
      </w:pPr>
      <w:r>
        <w:t xml:space="preserve">Grado de cumplimiento de codificación clínica (CIE-10, CPMS, catálogos IEDS).</w:t>
      </w:r>
    </w:p>
    <w:p>
      <w:pPr>
        <w:pStyle w:val="Compact"/>
        <w:numPr>
          <w:ilvl w:val="0"/>
          <w:numId w:val="1018"/>
        </w:numPr>
      </w:pPr>
      <w:r>
        <w:t xml:space="preserve">Estado de seguridad, trazabilidad y auditoría de datos clínicos.</w:t>
      </w:r>
    </w:p>
    <w:p>
      <w:pPr>
        <w:pStyle w:val="Compact"/>
        <w:numPr>
          <w:ilvl w:val="0"/>
          <w:numId w:val="1018"/>
        </w:numPr>
      </w:pPr>
      <w:r>
        <w:t xml:space="preserve">Capacidad de infraestructura y conectividad.</w:t>
      </w:r>
    </w:p>
    <w:bookmarkEnd w:id="43"/>
    <w:bookmarkStart w:id="44" w:name="fase-2-implementación-piloto"/>
    <w:p>
      <w:pPr>
        <w:pStyle w:val="Heading4"/>
      </w:pPr>
      <w:r>
        <w:t xml:space="preserve">Fase 2 — Implementación piloto</w:t>
      </w:r>
    </w:p>
    <w:p>
      <w:pPr>
        <w:pStyle w:val="Compact"/>
        <w:numPr>
          <w:ilvl w:val="0"/>
          <w:numId w:val="1019"/>
        </w:numPr>
      </w:pPr>
      <w:r>
        <w:t xml:space="preserve">Diseño de capa de integración FHIR (recursos, perfiles, terminologías).</w:t>
      </w:r>
    </w:p>
    <w:p>
      <w:pPr>
        <w:pStyle w:val="Compact"/>
        <w:numPr>
          <w:ilvl w:val="0"/>
          <w:numId w:val="1019"/>
        </w:numPr>
      </w:pPr>
      <w:r>
        <w:t xml:space="preserve">Mapeo y transformación de datos locales al modelo FHIR.</w:t>
      </w:r>
    </w:p>
    <w:p>
      <w:pPr>
        <w:pStyle w:val="Compact"/>
        <w:numPr>
          <w:ilvl w:val="0"/>
          <w:numId w:val="1019"/>
        </w:numPr>
      </w:pPr>
      <w:r>
        <w:t xml:space="preserve">Implementación del servicio de intercambio piloto.</w:t>
      </w:r>
    </w:p>
    <w:p>
      <w:pPr>
        <w:pStyle w:val="Compact"/>
        <w:numPr>
          <w:ilvl w:val="0"/>
          <w:numId w:val="1019"/>
        </w:numPr>
      </w:pPr>
      <w:r>
        <w:t xml:space="preserve">Capacitación del personal operativo involucrado.</w:t>
      </w:r>
    </w:p>
    <w:bookmarkEnd w:id="44"/>
    <w:bookmarkStart w:id="45" w:name="fase-3-evaluación-de-impacto"/>
    <w:p>
      <w:pPr>
        <w:pStyle w:val="Heading4"/>
      </w:pPr>
      <w:r>
        <w:t xml:space="preserve">Fase 3 — Evaluación de impacto</w:t>
      </w:r>
    </w:p>
    <w:p>
      <w:pPr>
        <w:pStyle w:val="Compact"/>
        <w:numPr>
          <w:ilvl w:val="0"/>
          <w:numId w:val="1020"/>
        </w:numPr>
      </w:pPr>
      <w:r>
        <w:t xml:space="preserve">Comparación pre/post de indicadores de calidad de gestión de HCE.</w:t>
      </w:r>
    </w:p>
    <w:bookmarkEnd w:id="45"/>
    <w:bookmarkEnd w:id="46"/>
    <w:bookmarkStart w:id="47" w:name="variable-dependiente"/>
    <w:p>
      <w:pPr>
        <w:pStyle w:val="Heading3"/>
      </w:pPr>
      <w:r>
        <w:t xml:space="preserve">Variable dependiente</w:t>
      </w:r>
    </w:p>
    <w:p>
      <w:pPr>
        <w:pStyle w:val="FirstParagraph"/>
      </w:pPr>
      <w:r>
        <w:t xml:space="preserve">Calidad de gestión de historias clínicas de pacientes SIS.</w:t>
      </w:r>
    </w:p>
    <w:bookmarkEnd w:id="47"/>
    <w:bookmarkStart w:id="48" w:name="Xc8ff1098c628d99a99dde74a838442f6b2c3989"/>
    <w:p>
      <w:pPr>
        <w:pStyle w:val="Heading3"/>
      </w:pPr>
      <w:r>
        <w:t xml:space="preserve">Indicadores de la variable dependiente (medidos pre y post implementación)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Fórmula / operacionalización</w:t>
            </w:r>
          </w:p>
        </w:tc>
        <w:tc>
          <w:tcPr/>
          <w:p>
            <w:pPr>
              <w:pStyle w:val="Compact"/>
            </w:pPr>
            <w:r>
              <w:t xml:space="preserve">Fuente</w:t>
            </w:r>
          </w:p>
        </w:tc>
      </w:tr>
      <w:tr>
        <w:tc>
          <w:tcPr/>
          <w:p>
            <w:pPr>
              <w:pStyle w:val="Compact"/>
            </w:pPr>
            <w:r>
              <w:t xml:space="preserve">Completitud de HCE</w:t>
            </w:r>
          </w:p>
        </w:tc>
        <w:tc>
          <w:tcPr/>
          <w:p>
            <w:pPr>
              <w:pStyle w:val="Compact"/>
            </w:pPr>
            <w:r>
              <w:t xml:space="preserve">% de campos obligatorios completos</w:t>
            </w:r>
          </w:p>
        </w:tc>
        <w:tc>
          <w:tcPr/>
          <w:p>
            <w:pPr>
              <w:pStyle w:val="Compact"/>
            </w:pPr>
            <w:r>
              <w:t xml:space="preserve">Auditoría de registros</w:t>
            </w:r>
          </w:p>
        </w:tc>
      </w:tr>
      <w:tr>
        <w:tc>
          <w:tcPr/>
          <w:p>
            <w:pPr>
              <w:pStyle w:val="Compact"/>
            </w:pPr>
            <w:r>
              <w:t xml:space="preserve">Codificación CIE-10</w:t>
            </w:r>
          </w:p>
        </w:tc>
        <w:tc>
          <w:tcPr/>
          <w:p>
            <w:pPr>
              <w:pStyle w:val="Compact"/>
            </w:pPr>
            <w:r>
              <w:t xml:space="preserve">% de diagnósticos correctamente codificados</w:t>
            </w:r>
          </w:p>
        </w:tc>
        <w:tc>
          <w:tcPr/>
          <w:p>
            <w:pPr>
              <w:pStyle w:val="Compact"/>
            </w:pPr>
            <w:r>
              <w:t xml:space="preserve">Muestra de atenciones</w:t>
            </w:r>
          </w:p>
        </w:tc>
      </w:tr>
      <w:tr>
        <w:tc>
          <w:tcPr/>
          <w:p>
            <w:pPr>
              <w:pStyle w:val="Compact"/>
            </w:pPr>
            <w:r>
              <w:t xml:space="preserve">Codificación CPMS</w:t>
            </w:r>
          </w:p>
        </w:tc>
        <w:tc>
          <w:tcPr/>
          <w:p>
            <w:pPr>
              <w:pStyle w:val="Compact"/>
            </w:pPr>
            <w:r>
              <w:t xml:space="preserve">% de procedimientos correctamente codificados</w:t>
            </w:r>
          </w:p>
        </w:tc>
        <w:tc>
          <w:tcPr/>
          <w:p>
            <w:pPr>
              <w:pStyle w:val="Compact"/>
            </w:pPr>
            <w:r>
              <w:t xml:space="preserve">Muestra de atenciones</w:t>
            </w:r>
          </w:p>
        </w:tc>
      </w:tr>
      <w:tr>
        <w:tc>
          <w:tcPr/>
          <w:p>
            <w:pPr>
              <w:pStyle w:val="Compact"/>
            </w:pPr>
            <w:r>
              <w:t xml:space="preserve">Duplicidad de pacientes</w:t>
            </w:r>
          </w:p>
        </w:tc>
        <w:tc>
          <w:tcPr/>
          <w:p>
            <w:pPr>
              <w:pStyle w:val="Compact"/>
            </w:pPr>
            <w:r>
              <w:t xml:space="preserve">Tasa de duplicados por cada 1 000 atenciones</w:t>
            </w:r>
          </w:p>
        </w:tc>
        <w:tc>
          <w:tcPr/>
          <w:p>
            <w:pPr>
              <w:pStyle w:val="Compact"/>
            </w:pPr>
            <w:r>
              <w:t xml:space="preserve">Base de datos HIS</w:t>
            </w:r>
          </w:p>
        </w:tc>
      </w:tr>
      <w:tr>
        <w:tc>
          <w:tcPr/>
          <w:p>
            <w:pPr>
              <w:pStyle w:val="Compact"/>
            </w:pPr>
            <w:r>
              <w:t xml:space="preserve">Duplicidad de exámenes</w:t>
            </w:r>
          </w:p>
        </w:tc>
        <w:tc>
          <w:tcPr/>
          <w:p>
            <w:pPr>
              <w:pStyle w:val="Compact"/>
            </w:pPr>
            <w:r>
              <w:t xml:space="preserve">Tasa de exámenes/procedimientos duplicados por 1 000 atenciones</w:t>
            </w:r>
          </w:p>
        </w:tc>
        <w:tc>
          <w:tcPr/>
          <w:p>
            <w:pPr>
              <w:pStyle w:val="Compact"/>
            </w:pPr>
            <w:r>
              <w:t xml:space="preserve">Base de datos HIS</w:t>
            </w:r>
          </w:p>
        </w:tc>
      </w:tr>
      <w:tr>
        <w:tc>
          <w:tcPr/>
          <w:p>
            <w:pPr>
              <w:pStyle w:val="Compact"/>
            </w:pPr>
            <w:r>
              <w:t xml:space="preserve">Tiempo de validación SIS</w:t>
            </w:r>
          </w:p>
        </w:tc>
        <w:tc>
          <w:tcPr/>
          <w:p>
            <w:pPr>
              <w:pStyle w:val="Compact"/>
            </w:pPr>
            <w:r>
              <w:t xml:space="preserve">Tiempo promedio en horas desde atención hasta validación</w:t>
            </w:r>
          </w:p>
        </w:tc>
        <w:tc>
          <w:tcPr/>
          <w:p>
            <w:pPr>
              <w:pStyle w:val="Compact"/>
            </w:pPr>
            <w:r>
              <w:t xml:space="preserve">Registros SIS</w:t>
            </w:r>
          </w:p>
        </w:tc>
      </w:tr>
      <w:tr>
        <w:tc>
          <w:tcPr/>
          <w:p>
            <w:pPr>
              <w:pStyle w:val="Compact"/>
            </w:pPr>
            <w:r>
              <w:t xml:space="preserve">Continuidad de atención</w:t>
            </w:r>
          </w:p>
        </w:tc>
        <w:tc>
          <w:tcPr/>
          <w:p>
            <w:pPr>
              <w:pStyle w:val="Compact"/>
            </w:pPr>
            <w:r>
              <w:t xml:space="preserve">% de HCE con trazabilidad entre establecimientos</w:t>
            </w:r>
          </w:p>
        </w:tc>
        <w:tc>
          <w:tcPr/>
          <w:p>
            <w:pPr>
              <w:pStyle w:val="Compact"/>
            </w:pPr>
            <w:r>
              <w:t xml:space="preserve">Cruce de registros</w:t>
            </w:r>
          </w:p>
        </w:tc>
      </w:tr>
      <w:tr>
        <w:tc>
          <w:tcPr/>
          <w:p>
            <w:pPr>
              <w:pStyle w:val="Compact"/>
            </w:pPr>
            <w:r>
              <w:t xml:space="preserve">Trazabilidad de accesos</w:t>
            </w:r>
          </w:p>
        </w:tc>
        <w:tc>
          <w:tcPr/>
          <w:p>
            <w:pPr>
              <w:pStyle w:val="Compact"/>
            </w:pPr>
            <w:r>
              <w:t xml:space="preserve">% de registros con log completo de acceso/modificación</w:t>
            </w:r>
          </w:p>
        </w:tc>
        <w:tc>
          <w:tcPr/>
          <w:p>
            <w:pPr>
              <w:pStyle w:val="Compact"/>
            </w:pPr>
            <w:r>
              <w:t xml:space="preserve">Logs del sistema</w:t>
            </w:r>
          </w:p>
        </w:tc>
      </w:tr>
    </w:tbl>
    <w:bookmarkEnd w:id="48"/>
    <w:bookmarkStart w:id="49" w:name="diseño-metodológico"/>
    <w:p>
      <w:pPr>
        <w:pStyle w:val="Heading3"/>
      </w:pPr>
      <w:r>
        <w:t xml:space="preserve">Diseño metodológico</w:t>
      </w:r>
    </w:p>
    <w:p>
      <w:pPr>
        <w:pStyle w:val="Compact"/>
        <w:numPr>
          <w:ilvl w:val="0"/>
          <w:numId w:val="1021"/>
        </w:numPr>
      </w:pPr>
      <w:r>
        <w:rPr>
          <w:b/>
          <w:bCs/>
        </w:rPr>
        <w:t xml:space="preserve">Tipo:</w:t>
      </w:r>
      <w:r>
        <w:t xml:space="preserve"> </w:t>
      </w:r>
      <w:r>
        <w:t xml:space="preserve">pre-experimental (pre-test / post-test con grupo único) o cuasi-experimental si se incluye grupo control.</w:t>
      </w:r>
    </w:p>
    <w:p>
      <w:pPr>
        <w:pStyle w:val="Compact"/>
        <w:numPr>
          <w:ilvl w:val="0"/>
          <w:numId w:val="1021"/>
        </w:numPr>
      </w:pPr>
      <w:r>
        <w:rPr>
          <w:b/>
          <w:bCs/>
        </w:rPr>
        <w:t xml:space="preserve">Alcance:</w:t>
      </w:r>
      <w:r>
        <w:t xml:space="preserve"> </w:t>
      </w:r>
      <w:r>
        <w:t xml:space="preserve">explicativo-propositivo.</w:t>
      </w:r>
    </w:p>
    <w:p>
      <w:pPr>
        <w:pStyle w:val="Compact"/>
        <w:numPr>
          <w:ilvl w:val="0"/>
          <w:numId w:val="1021"/>
        </w:numPr>
      </w:pPr>
      <w:r>
        <w:rPr>
          <w:b/>
          <w:bCs/>
        </w:rPr>
        <w:t xml:space="preserve">Enfoque:</w:t>
      </w:r>
      <w:r>
        <w:t xml:space="preserve"> </w:t>
      </w:r>
      <w:r>
        <w:t xml:space="preserve">mixto (cuantitativo predominante + cualitativo complementario).</w:t>
      </w:r>
    </w:p>
    <w:p>
      <w:pPr>
        <w:pStyle w:val="Compact"/>
        <w:numPr>
          <w:ilvl w:val="0"/>
          <w:numId w:val="1021"/>
        </w:numPr>
      </w:pPr>
      <w:r>
        <w:rPr>
          <w:b/>
          <w:bCs/>
        </w:rPr>
        <w:t xml:space="preserve">Instrumento diagnóstico:</w:t>
      </w:r>
      <w:r>
        <w:t xml:space="preserve"> </w:t>
      </w:r>
      <w:r>
        <w:t xml:space="preserve">lista de chequeo de cumplimiento normativo-técnico (basada en RM 1104, 464, 1193).</w:t>
      </w:r>
    </w:p>
    <w:p>
      <w:pPr>
        <w:pStyle w:val="Compact"/>
        <w:numPr>
          <w:ilvl w:val="0"/>
          <w:numId w:val="1021"/>
        </w:numPr>
      </w:pPr>
      <w:r>
        <w:rPr>
          <w:b/>
          <w:bCs/>
        </w:rPr>
        <w:t xml:space="preserve">Instrumento de evaluación:</w:t>
      </w:r>
      <w:r>
        <w:t xml:space="preserve"> </w:t>
      </w:r>
      <w:r>
        <w:t xml:space="preserve">mediciones pre/post de los 8 indicadores de calidad de HCE.</w:t>
      </w:r>
    </w:p>
    <w:p>
      <w:pPr>
        <w:pStyle w:val="Compact"/>
        <w:numPr>
          <w:ilvl w:val="0"/>
          <w:numId w:val="1021"/>
        </w:numPr>
      </w:pPr>
      <w:r>
        <w:rPr>
          <w:b/>
          <w:bCs/>
        </w:rPr>
        <w:t xml:space="preserve">Análisis:</w:t>
      </w:r>
      <w:r>
        <w:t xml:space="preserve"> </w:t>
      </w:r>
      <w:r>
        <w:t xml:space="preserve">prueba de diferencias pareadas (Wilcoxon o t-test según normalidad) para comparar indicadores antes y después de la implementación.</w:t>
      </w:r>
    </w:p>
    <w:bookmarkEnd w:id="49"/>
    <w:bookmarkEnd w:id="50"/>
    <w:bookmarkStart w:id="51" w:name="Xc5ae91e0084a6cd1cad64f0d0f9875ec28c0eb3"/>
    <w:p>
      <w:pPr>
        <w:pStyle w:val="Heading2"/>
      </w:pPr>
      <w:r>
        <w:t xml:space="preserve">Paso 8. Siguientes pasos - ejecucióncontinuar</w:t>
      </w:r>
    </w:p>
    <w:p>
      <w:pPr>
        <w:pStyle w:val="Compact"/>
        <w:numPr>
          <w:ilvl w:val="0"/>
          <w:numId w:val="1022"/>
        </w:numPr>
      </w:pPr>
      <w:r>
        <w:t xml:space="preserve">Definir muestra de establecimientos (mínimo 2-3 niveles de complejidad en Lima).</w:t>
      </w:r>
    </w:p>
    <w:p>
      <w:pPr>
        <w:pStyle w:val="Compact"/>
        <w:numPr>
          <w:ilvl w:val="0"/>
          <w:numId w:val="1022"/>
        </w:numPr>
      </w:pPr>
      <w:r>
        <w:t xml:space="preserve">Construir y validar ficha de diagnóstico de interoperabilidad (checklist normativo-técnico).</w:t>
      </w:r>
    </w:p>
    <w:p>
      <w:pPr>
        <w:pStyle w:val="Compact"/>
        <w:numPr>
          <w:ilvl w:val="0"/>
          <w:numId w:val="1022"/>
        </w:numPr>
      </w:pPr>
      <w:r>
        <w:t xml:space="preserve">Ejecutar diagnóstico: levantar línea base de cumplimiento y brechas en los establecimientos.</w:t>
      </w:r>
    </w:p>
    <w:p>
      <w:pPr>
        <w:pStyle w:val="Compact"/>
        <w:numPr>
          <w:ilvl w:val="0"/>
          <w:numId w:val="1022"/>
        </w:numPr>
      </w:pPr>
      <w:r>
        <w:t xml:space="preserve">Priorizar brechas con matriz impacto-viabilidad.</w:t>
      </w:r>
    </w:p>
    <w:p>
      <w:pPr>
        <w:pStyle w:val="Compact"/>
        <w:numPr>
          <w:ilvl w:val="0"/>
          <w:numId w:val="1022"/>
        </w:numPr>
      </w:pPr>
      <w:r>
        <w:t xml:space="preserve">Diseñar la capa de integración FHIR piloto (perfiles de recursos, terminologías, endpoints).</w:t>
      </w:r>
    </w:p>
    <w:p>
      <w:pPr>
        <w:pStyle w:val="Compact"/>
        <w:numPr>
          <w:ilvl w:val="0"/>
          <w:numId w:val="1022"/>
        </w:numPr>
      </w:pPr>
      <w:r>
        <w:t xml:space="preserve">Implementar la capa piloto en al menos un establecimiento.</w:t>
      </w:r>
    </w:p>
    <w:p>
      <w:pPr>
        <w:pStyle w:val="Compact"/>
        <w:numPr>
          <w:ilvl w:val="0"/>
          <w:numId w:val="1022"/>
        </w:numPr>
      </w:pPr>
      <w:r>
        <w:t xml:space="preserve">Capacitar al personal operativo del establecimiento piloto.</w:t>
      </w:r>
    </w:p>
    <w:p>
      <w:pPr>
        <w:pStyle w:val="Compact"/>
        <w:numPr>
          <w:ilvl w:val="0"/>
          <w:numId w:val="1022"/>
        </w:numPr>
      </w:pPr>
      <w:r>
        <w:t xml:space="preserve">Medir indicadores post-implementación y comparar con línea base (prueba estadística).</w:t>
      </w:r>
    </w:p>
    <w:p>
      <w:pPr>
        <w:pStyle w:val="Compact"/>
        <w:numPr>
          <w:ilvl w:val="0"/>
          <w:numId w:val="1022"/>
        </w:numPr>
      </w:pPr>
      <w:r>
        <w:t xml:space="preserve">Analizar resultados, conclusiones y recomendaciones.</w:t>
      </w:r>
    </w:p>
    <w:p>
      <w:pPr>
        <w:pStyle w:val="Compact"/>
        <w:numPr>
          <w:ilvl w:val="0"/>
          <w:numId w:val="1022"/>
        </w:numPr>
      </w:pPr>
      <w:r>
        <w:t xml:space="preserve">Documentar lecciones aprendidas y lineamientos de escalabilidad.</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2026-03-21T02:06:49Z</dcterms:created>
  <dcterms:modified xsi:type="dcterms:W3CDTF">2026-03-21T02:06:49Z</dcterms:modified>
</cp:coreProperties>
</file>

<file path=docProps/custom.xml><?xml version="1.0" encoding="utf-8"?>
<Properties xmlns="http://schemas.openxmlformats.org/officeDocument/2006/custom-properties" xmlns:vt="http://schemas.openxmlformats.org/officeDocument/2006/docPropsVTypes"/>
</file>